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4A0" w:firstRow="1" w:lastRow="0" w:firstColumn="1" w:lastColumn="0" w:noHBand="0" w:noVBand="1"/>
      </w:tblPr>
      <w:tblGrid>
        <w:gridCol w:w="2547"/>
        <w:gridCol w:w="2410"/>
        <w:gridCol w:w="2693"/>
        <w:gridCol w:w="2428"/>
      </w:tblGrid>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E06CD2">
            <w:pPr>
              <w:pStyle w:val="Standard"/>
              <w:spacing w:line="360" w:lineRule="auto"/>
              <w:jc w:val="center"/>
            </w:pPr>
            <w:r>
              <w:rPr>
                <w:rFonts w:cs="Times New Roman"/>
                <w:b/>
                <w:sz w:val="24"/>
                <w:szCs w:val="24"/>
              </w:rPr>
              <w:t xml:space="preserve">Pregão Eletrônico </w:t>
            </w:r>
            <w:r w:rsidR="00C05185">
              <w:rPr>
                <w:rFonts w:cs="Times New Roman"/>
                <w:b/>
                <w:sz w:val="24"/>
                <w:szCs w:val="24"/>
              </w:rPr>
              <w:t>1</w:t>
            </w:r>
            <w:r w:rsidR="00E06CD2">
              <w:rPr>
                <w:rFonts w:cs="Times New Roman"/>
                <w:b/>
                <w:sz w:val="24"/>
                <w:szCs w:val="24"/>
              </w:rPr>
              <w:t>7</w:t>
            </w:r>
            <w:r>
              <w:rPr>
                <w:rFonts w:cs="Times New Roman"/>
                <w:b/>
                <w:sz w:val="24"/>
                <w:szCs w:val="24"/>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5D64A7">
            <w:pPr>
              <w:pStyle w:val="Standard"/>
              <w:spacing w:line="360" w:lineRule="auto"/>
              <w:jc w:val="center"/>
              <w:rPr>
                <w:rFonts w:cs="Times New Roman"/>
                <w:b/>
                <w:sz w:val="24"/>
                <w:szCs w:val="24"/>
              </w:rPr>
            </w:pPr>
            <w:r>
              <w:rPr>
                <w:rFonts w:cs="Times New Roman"/>
                <w:b/>
                <w:sz w:val="24"/>
                <w:szCs w:val="24"/>
              </w:rPr>
              <w:t xml:space="preserve">Data de abertura: </w:t>
            </w:r>
            <w:r w:rsidR="002757B4">
              <w:rPr>
                <w:rFonts w:cs="Times New Roman"/>
                <w:b/>
                <w:sz w:val="24"/>
                <w:szCs w:val="24"/>
              </w:rPr>
              <w:t>30</w:t>
            </w:r>
            <w:r>
              <w:rPr>
                <w:rFonts w:cs="Times New Roman"/>
                <w:b/>
                <w:sz w:val="24"/>
                <w:szCs w:val="24"/>
              </w:rPr>
              <w:t>/</w:t>
            </w:r>
            <w:r w:rsidR="00EA0FB3">
              <w:rPr>
                <w:rFonts w:cs="Times New Roman"/>
                <w:b/>
                <w:sz w:val="24"/>
                <w:szCs w:val="24"/>
              </w:rPr>
              <w:t>07</w:t>
            </w:r>
            <w:r>
              <w:rPr>
                <w:rFonts w:cs="Times New Roman"/>
                <w:b/>
                <w:sz w:val="24"/>
                <w:szCs w:val="24"/>
              </w:rPr>
              <w:t xml:space="preserve">/2019 às </w:t>
            </w:r>
            <w:r w:rsidR="00EA0FB3">
              <w:rPr>
                <w:rFonts w:cs="Times New Roman"/>
                <w:b/>
                <w:sz w:val="24"/>
                <w:szCs w:val="24"/>
              </w:rPr>
              <w:t>14</w:t>
            </w:r>
            <w:r>
              <w:rPr>
                <w:rFonts w:cs="Times New Roman"/>
                <w:b/>
                <w:sz w:val="24"/>
                <w:szCs w:val="24"/>
              </w:rPr>
              <w:t xml:space="preserve"> h</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Objeto</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06CD2">
              <w:rPr>
                <w:rStyle w:val="Fontepargpadro1"/>
                <w:rFonts w:eastAsia="Arial, Arial" w:cs="Times New Roman"/>
                <w:color w:val="000000"/>
                <w:sz w:val="24"/>
                <w:szCs w:val="24"/>
              </w:rPr>
              <w:t xml:space="preserve">Contratação de Serviço Técnico Especializado e aquisição de licenças de produtos Microsoft, na modalidade </w:t>
            </w:r>
            <w:r w:rsidRPr="00E06CD2">
              <w:rPr>
                <w:rStyle w:val="Fontepargpadro1"/>
                <w:rFonts w:eastAsia="Arial, Arial" w:cs="Times New Roman"/>
                <w:i/>
                <w:color w:val="000000"/>
                <w:sz w:val="24"/>
                <w:szCs w:val="24"/>
              </w:rPr>
              <w:t xml:space="preserve">Microsoft Enterprise </w:t>
            </w:r>
            <w:proofErr w:type="spellStart"/>
            <w:r w:rsidRPr="00E06CD2">
              <w:rPr>
                <w:rStyle w:val="Fontepargpadro1"/>
                <w:rFonts w:eastAsia="Arial, Arial" w:cs="Times New Roman"/>
                <w:i/>
                <w:color w:val="000000"/>
                <w:sz w:val="24"/>
                <w:szCs w:val="24"/>
              </w:rPr>
              <w:t>Agreement</w:t>
            </w:r>
            <w:proofErr w:type="spellEnd"/>
            <w:r w:rsidRPr="00E06CD2">
              <w:rPr>
                <w:rStyle w:val="Fontepargpadro1"/>
                <w:rFonts w:eastAsia="Arial, Arial" w:cs="Times New Roman"/>
                <w:color w:val="000000"/>
                <w:sz w:val="24"/>
                <w:szCs w:val="24"/>
              </w:rPr>
              <w:t xml:space="preserve"> (EA), com a respectiva prestação de garantia, conforme tabela abaixo, a fim de atender as necessidades corporativas do CNMP</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rPr>
                <w:rFonts w:cs="Times New Roman"/>
                <w:b/>
                <w:sz w:val="24"/>
                <w:szCs w:val="24"/>
              </w:rPr>
            </w:pPr>
            <w:r>
              <w:rPr>
                <w:rFonts w:cs="Times New Roman"/>
                <w:b/>
                <w:sz w:val="24"/>
                <w:szCs w:val="24"/>
              </w:rPr>
              <w:t>Valor Total Estimado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06CD2">
              <w:rPr>
                <w:b/>
                <w:bCs/>
                <w:color w:val="000000"/>
                <w:sz w:val="24"/>
                <w:szCs w:val="24"/>
              </w:rPr>
              <w:t>R$</w:t>
            </w:r>
            <w:r w:rsidRPr="00E06CD2">
              <w:rPr>
                <w:color w:val="000000"/>
                <w:sz w:val="24"/>
                <w:szCs w:val="24"/>
              </w:rPr>
              <w:t> </w:t>
            </w:r>
            <w:r w:rsidRPr="00E06CD2">
              <w:rPr>
                <w:rStyle w:val="Forte"/>
                <w:color w:val="000000"/>
                <w:sz w:val="24"/>
                <w:szCs w:val="24"/>
              </w:rPr>
              <w:t>6.257.515,74 </w:t>
            </w:r>
            <w:r w:rsidRPr="00E06CD2">
              <w:rPr>
                <w:bCs/>
                <w:color w:val="000000"/>
                <w:sz w:val="24"/>
                <w:szCs w:val="24"/>
              </w:rPr>
              <w:t>(seis milh</w:t>
            </w:r>
            <w:r w:rsidR="00D55FE6">
              <w:rPr>
                <w:bCs/>
                <w:color w:val="000000"/>
                <w:sz w:val="24"/>
                <w:szCs w:val="24"/>
              </w:rPr>
              <w:t>õ</w:t>
            </w:r>
            <w:r w:rsidRPr="00E06CD2">
              <w:rPr>
                <w:bCs/>
                <w:color w:val="000000"/>
                <w:sz w:val="24"/>
                <w:szCs w:val="24"/>
              </w:rPr>
              <w:t>es, duzentos e cinquenta e sete mil, quinhentos e quinze reais e setenta e quatro centavos)</w:t>
            </w:r>
            <w:r w:rsidRPr="00E06CD2">
              <w:rPr>
                <w:color w:val="000000"/>
                <w:sz w:val="24"/>
                <w:szCs w:val="24"/>
              </w:rPr>
              <w:t>.</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Forma de Adjudicação</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885B0F">
            <w:pPr>
              <w:pStyle w:val="Standard"/>
              <w:spacing w:line="360" w:lineRule="auto"/>
              <w:jc w:val="center"/>
              <w:rPr>
                <w:rFonts w:cs="Times New Roman"/>
                <w:sz w:val="24"/>
                <w:szCs w:val="24"/>
              </w:rPr>
            </w:pPr>
            <w:r>
              <w:rPr>
                <w:rFonts w:cs="Times New Roman"/>
                <w:sz w:val="24"/>
                <w:szCs w:val="24"/>
              </w:rPr>
              <w:t xml:space="preserve">Menor </w:t>
            </w:r>
            <w:r w:rsidR="0093207A">
              <w:rPr>
                <w:rFonts w:cs="Times New Roman"/>
                <w:sz w:val="24"/>
                <w:szCs w:val="24"/>
              </w:rPr>
              <w:t>preço por lote</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Documentos de Habilitação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both"/>
              <w:rPr>
                <w:rFonts w:cs="Times New Roman"/>
                <w:sz w:val="24"/>
                <w:szCs w:val="24"/>
              </w:rPr>
            </w:pPr>
            <w:r>
              <w:rPr>
                <w:rFonts w:cs="Times New Roman"/>
                <w:sz w:val="24"/>
                <w:szCs w:val="24"/>
              </w:rPr>
              <w:t>Ver Item 10 do Edital</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Dec. nº 7.174/2010?</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0B2BA1">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Prazo para envio da proposta/documentação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pPr>
            <w:r>
              <w:rPr>
                <w:rFonts w:cs="Times New Roman"/>
                <w:bCs/>
                <w:sz w:val="24"/>
                <w:szCs w:val="24"/>
              </w:rPr>
              <w:t>Até 1h após a convocação realizado pelo(a) pregoeiro(a)</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Impugnações</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jc w:val="both"/>
            </w:pPr>
            <w:r>
              <w:rPr>
                <w:rFonts w:cs="Times New Roman"/>
                <w:bCs/>
                <w:sz w:val="24"/>
                <w:szCs w:val="24"/>
              </w:rPr>
              <w:t>Até</w:t>
            </w:r>
            <w:r w:rsidR="00EA0FB3">
              <w:rPr>
                <w:rFonts w:cs="Times New Roman"/>
                <w:bCs/>
                <w:sz w:val="24"/>
                <w:szCs w:val="24"/>
              </w:rPr>
              <w:t xml:space="preserve"> </w:t>
            </w:r>
            <w:r w:rsidR="002757B4">
              <w:rPr>
                <w:rFonts w:cs="Times New Roman"/>
                <w:bCs/>
                <w:sz w:val="24"/>
                <w:szCs w:val="24"/>
              </w:rPr>
              <w:t>24</w:t>
            </w:r>
            <w:r>
              <w:rPr>
                <w:rFonts w:cs="Times New Roman"/>
                <w:bCs/>
                <w:sz w:val="24"/>
                <w:szCs w:val="24"/>
              </w:rPr>
              <w:t>/</w:t>
            </w:r>
            <w:r w:rsidR="00EA0FB3">
              <w:rPr>
                <w:rFonts w:cs="Times New Roman"/>
                <w:bCs/>
                <w:sz w:val="24"/>
                <w:szCs w:val="24"/>
              </w:rPr>
              <w:t>07</w:t>
            </w:r>
            <w:r>
              <w:rPr>
                <w:rFonts w:cs="Times New Roman"/>
                <w:bCs/>
                <w:sz w:val="24"/>
                <w:szCs w:val="24"/>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pPr>
            <w:r>
              <w:rPr>
                <w:rFonts w:cs="Times New Roman"/>
                <w:bCs/>
                <w:sz w:val="24"/>
                <w:szCs w:val="24"/>
              </w:rPr>
              <w:t xml:space="preserve">Até </w:t>
            </w:r>
            <w:r w:rsidR="002757B4">
              <w:rPr>
                <w:rFonts w:cs="Times New Roman"/>
                <w:bCs/>
                <w:sz w:val="24"/>
                <w:szCs w:val="24"/>
              </w:rPr>
              <w:t>25</w:t>
            </w:r>
            <w:r>
              <w:rPr>
                <w:rFonts w:cs="Times New Roman"/>
                <w:bCs/>
                <w:sz w:val="24"/>
                <w:szCs w:val="24"/>
              </w:rPr>
              <w:t>/</w:t>
            </w:r>
            <w:r w:rsidR="00EA0FB3">
              <w:rPr>
                <w:rFonts w:cs="Times New Roman"/>
                <w:bCs/>
                <w:sz w:val="24"/>
                <w:szCs w:val="24"/>
              </w:rPr>
              <w:t>07</w:t>
            </w:r>
            <w:r>
              <w:rPr>
                <w:rFonts w:cs="Times New Roman"/>
                <w:bCs/>
                <w:sz w:val="24"/>
                <w:szCs w:val="24"/>
              </w:rPr>
              <w:t>/2019 para o endereço licitacoes@cnmp.mp.br</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rPr>
                <w:rFonts w:cs="Times New Roman"/>
                <w:b/>
                <w:bCs/>
                <w:sz w:val="24"/>
                <w:szCs w:val="24"/>
              </w:rPr>
            </w:pPr>
            <w:r>
              <w:rPr>
                <w:rFonts w:cs="Times New Roman"/>
                <w:b/>
                <w:bCs/>
                <w:sz w:val="24"/>
                <w:szCs w:val="24"/>
              </w:rPr>
              <w:t>Relação de itens</w:t>
            </w:r>
          </w:p>
        </w:tc>
      </w:tr>
      <w:tr w:rsidR="00A11032">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rPr>
                <w:rFonts w:cs="Times New Roman"/>
                <w:sz w:val="24"/>
                <w:szCs w:val="24"/>
              </w:rPr>
            </w:pPr>
            <w:r>
              <w:rPr>
                <w:rFonts w:cs="Times New Roman"/>
                <w:sz w:val="24"/>
                <w:szCs w:val="24"/>
              </w:rPr>
              <w:t>Ver Item 9.4 do Edital</w:t>
            </w:r>
          </w:p>
        </w:tc>
      </w:tr>
    </w:tbl>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EE68D3">
      <w:pPr>
        <w:pStyle w:val="Standard"/>
        <w:spacing w:line="360" w:lineRule="auto"/>
        <w:jc w:val="both"/>
        <w:rPr>
          <w:b/>
          <w:sz w:val="24"/>
          <w:szCs w:val="24"/>
        </w:rPr>
      </w:pPr>
      <w:r>
        <w:rPr>
          <w:b/>
          <w:sz w:val="24"/>
          <w:szCs w:val="24"/>
        </w:rPr>
        <w:tab/>
      </w:r>
    </w:p>
    <w:p w:rsidR="00A11032" w:rsidRDefault="00EE68D3">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A11032" w:rsidRDefault="00EE68D3">
      <w:pPr>
        <w:pStyle w:val="Standard"/>
        <w:spacing w:line="360" w:lineRule="auto"/>
        <w:jc w:val="both"/>
        <w:rPr>
          <w:b/>
          <w:sz w:val="24"/>
          <w:szCs w:val="24"/>
        </w:rPr>
      </w:pPr>
      <w:r>
        <w:rPr>
          <w:b/>
          <w:sz w:val="24"/>
          <w:szCs w:val="24"/>
        </w:rPr>
        <w:t xml:space="preserve">DATA: </w:t>
      </w:r>
      <w:r w:rsidR="002757B4">
        <w:rPr>
          <w:b/>
          <w:sz w:val="24"/>
          <w:szCs w:val="24"/>
        </w:rPr>
        <w:t>30</w:t>
      </w:r>
      <w:r w:rsidR="00EA0FB3">
        <w:rPr>
          <w:b/>
          <w:sz w:val="24"/>
          <w:szCs w:val="24"/>
        </w:rPr>
        <w:t>/07</w:t>
      </w:r>
      <w:r>
        <w:rPr>
          <w:b/>
          <w:sz w:val="24"/>
          <w:szCs w:val="24"/>
        </w:rPr>
        <w:t>/2019</w:t>
      </w:r>
    </w:p>
    <w:p w:rsidR="00A11032" w:rsidRDefault="00EE68D3">
      <w:pPr>
        <w:pStyle w:val="Standard"/>
        <w:spacing w:line="360" w:lineRule="auto"/>
        <w:jc w:val="both"/>
        <w:rPr>
          <w:b/>
          <w:sz w:val="24"/>
          <w:szCs w:val="24"/>
        </w:rPr>
      </w:pPr>
      <w:r>
        <w:rPr>
          <w:b/>
          <w:sz w:val="24"/>
          <w:szCs w:val="24"/>
        </w:rPr>
        <w:t xml:space="preserve">HORÁRIO: </w:t>
      </w:r>
      <w:r w:rsidR="00EA0FB3">
        <w:rPr>
          <w:b/>
          <w:sz w:val="24"/>
          <w:szCs w:val="24"/>
        </w:rPr>
        <w:t xml:space="preserve">14 </w:t>
      </w:r>
      <w:r>
        <w:rPr>
          <w:b/>
          <w:sz w:val="24"/>
          <w:szCs w:val="24"/>
        </w:rPr>
        <w:t>horas</w:t>
      </w:r>
    </w:p>
    <w:p w:rsidR="00A11032" w:rsidRDefault="00A11032">
      <w:pPr>
        <w:pStyle w:val="Standard"/>
        <w:spacing w:line="360" w:lineRule="auto"/>
        <w:jc w:val="both"/>
        <w:rPr>
          <w:b/>
          <w:sz w:val="24"/>
          <w:szCs w:val="24"/>
        </w:rPr>
      </w:pPr>
    </w:p>
    <w:p w:rsidR="00A11032" w:rsidRDefault="00EE68D3">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11032" w:rsidRDefault="00A11032">
      <w:pPr>
        <w:pStyle w:val="Standard"/>
        <w:spacing w:line="360" w:lineRule="auto"/>
        <w:jc w:val="both"/>
        <w:rPr>
          <w:sz w:val="24"/>
          <w:szCs w:val="24"/>
        </w:rPr>
      </w:pPr>
    </w:p>
    <w:p w:rsidR="00A11032" w:rsidRDefault="00EE68D3">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xml:space="preserve">, sediado no Setor de Administração Federal Sul – SAFS, Quadra 2, Lote 3, Ed. Adail Belmonte, CEP 70070-600, torna público, por meio do </w:t>
      </w:r>
      <w:r w:rsidR="00472083">
        <w:rPr>
          <w:rFonts w:ascii="Times New Roman" w:hAnsi="Times New Roman" w:cs="Trebuchet MS"/>
          <w:sz w:val="24"/>
          <w:szCs w:val="24"/>
        </w:rPr>
        <w:t xml:space="preserve">Pregoeiro Marciel Rubens da Silva </w:t>
      </w:r>
      <w:r>
        <w:rPr>
          <w:rFonts w:ascii="Times New Roman" w:hAnsi="Times New Roman" w:cs="Trebuchet MS"/>
          <w:sz w:val="24"/>
          <w:szCs w:val="24"/>
        </w:rPr>
        <w:t xml:space="preserve">e sua equipe de apoio, designados pela Portaria nº </w:t>
      </w:r>
      <w:r w:rsidR="00DD553D">
        <w:rPr>
          <w:rFonts w:ascii="Times New Roman" w:hAnsi="Times New Roman" w:cs="Trebuchet MS"/>
          <w:sz w:val="24"/>
          <w:szCs w:val="24"/>
        </w:rPr>
        <w:t>114</w:t>
      </w:r>
      <w:r>
        <w:rPr>
          <w:rFonts w:ascii="Times New Roman" w:hAnsi="Times New Roman" w:cs="Trebuchet MS"/>
          <w:sz w:val="24"/>
          <w:szCs w:val="24"/>
        </w:rPr>
        <w:t xml:space="preserve">, de </w:t>
      </w:r>
      <w:r w:rsidR="00DD553D">
        <w:rPr>
          <w:rFonts w:ascii="Times New Roman" w:hAnsi="Times New Roman" w:cs="Trebuchet MS"/>
          <w:sz w:val="24"/>
          <w:szCs w:val="24"/>
        </w:rPr>
        <w:t>1</w:t>
      </w:r>
      <w:r>
        <w:rPr>
          <w:rFonts w:ascii="Times New Roman" w:hAnsi="Times New Roman" w:cs="Trebuchet MS"/>
          <w:sz w:val="24"/>
          <w:szCs w:val="24"/>
        </w:rPr>
        <w:t>4 de maio de 201</w:t>
      </w:r>
      <w:r w:rsidR="00DD553D">
        <w:rPr>
          <w:rFonts w:ascii="Times New Roman" w:hAnsi="Times New Roman" w:cs="Trebuchet MS"/>
          <w:sz w:val="24"/>
          <w:szCs w:val="24"/>
        </w:rPr>
        <w:t>9</w:t>
      </w:r>
      <w:r>
        <w:rPr>
          <w:rFonts w:ascii="Times New Roman" w:hAnsi="Times New Roman" w:cs="Trebuchet MS"/>
          <w:sz w:val="24"/>
          <w:szCs w:val="24"/>
        </w:rPr>
        <w:t xml:space="preserve"> 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 xml:space="preserve">dia </w:t>
      </w:r>
      <w:r w:rsidR="002757B4">
        <w:rPr>
          <w:rFonts w:ascii="Times New Roman" w:eastAsia="CourierNewPSMT" w:hAnsi="Times New Roman" w:cs="CourierNewPSMT"/>
          <w:b/>
          <w:bCs/>
          <w:sz w:val="24"/>
          <w:szCs w:val="24"/>
        </w:rPr>
        <w:t>30</w:t>
      </w:r>
      <w:r w:rsidR="00EA0FB3">
        <w:rPr>
          <w:rFonts w:ascii="Times New Roman" w:eastAsia="CourierNewPSMT" w:hAnsi="Times New Roman" w:cs="CourierNewPSMT"/>
          <w:b/>
          <w:bCs/>
          <w:sz w:val="24"/>
          <w:szCs w:val="24"/>
        </w:rPr>
        <w:t xml:space="preserve"> </w:t>
      </w:r>
      <w:r>
        <w:rPr>
          <w:rFonts w:ascii="Times New Roman" w:eastAsia="CourierNewPSMT" w:hAnsi="Times New Roman" w:cs="CourierNewPSMT"/>
          <w:b/>
          <w:bCs/>
          <w:sz w:val="24"/>
          <w:szCs w:val="24"/>
        </w:rPr>
        <w:t>de</w:t>
      </w:r>
      <w:r w:rsidR="00EA0FB3">
        <w:rPr>
          <w:rFonts w:ascii="Times New Roman" w:eastAsia="CourierNewPSMT" w:hAnsi="Times New Roman" w:cs="CourierNewPSMT"/>
          <w:b/>
          <w:bCs/>
          <w:sz w:val="24"/>
          <w:szCs w:val="24"/>
        </w:rPr>
        <w:t xml:space="preserve"> julho</w:t>
      </w:r>
      <w:r>
        <w:rPr>
          <w:rFonts w:ascii="Times New Roman" w:eastAsia="CourierNewPSMT" w:hAnsi="Times New Roman" w:cs="CourierNewPSMT"/>
          <w:b/>
          <w:bCs/>
          <w:sz w:val="24"/>
          <w:szCs w:val="24"/>
        </w:rPr>
        <w:t xml:space="preserve"> 2019, às </w:t>
      </w:r>
      <w:r w:rsidR="00EA0FB3">
        <w:rPr>
          <w:rFonts w:ascii="Times New Roman" w:eastAsia="CourierNewPSMT" w:hAnsi="Times New Roman" w:cs="CourierNewPSMT"/>
          <w:b/>
          <w:bCs/>
          <w:sz w:val="24"/>
          <w:szCs w:val="24"/>
        </w:rPr>
        <w:t>14</w:t>
      </w:r>
      <w:r>
        <w:rPr>
          <w:rFonts w:ascii="Times New Roman" w:eastAsia="CourierNewPSMT" w:hAnsi="Times New Roman" w:cs="CourierNewPSMT"/>
          <w:b/>
          <w:bCs/>
          <w:sz w:val="24"/>
          <w:szCs w:val="24"/>
        </w:rPr>
        <w:t xml:space="preserve"> 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w:t>
      </w:r>
      <w:r>
        <w:rPr>
          <w:rFonts w:ascii="Times New Roman" w:hAnsi="Times New Roman" w:cs="Trebuchet MS"/>
          <w:sz w:val="24"/>
          <w:szCs w:val="24"/>
        </w:rPr>
        <w:t xml:space="preserve"> realizará licitação do </w:t>
      </w:r>
      <w:r>
        <w:rPr>
          <w:rFonts w:ascii="Times New Roman" w:hAnsi="Times New Roman" w:cs="Trebuchet MS"/>
          <w:b/>
          <w:bCs/>
          <w:color w:val="000000"/>
          <w:sz w:val="24"/>
          <w:szCs w:val="24"/>
        </w:rPr>
        <w:t xml:space="preserve">tipo </w:t>
      </w:r>
      <w:r w:rsidRPr="00536C22">
        <w:rPr>
          <w:rFonts w:ascii="Times New Roman" w:hAnsi="Times New Roman" w:cs="Times New Roman"/>
          <w:b/>
          <w:bCs/>
          <w:color w:val="000000"/>
          <w:sz w:val="24"/>
          <w:szCs w:val="24"/>
        </w:rPr>
        <w:t>MENOR PREÇO</w:t>
      </w:r>
      <w:r w:rsidR="0093207A">
        <w:rPr>
          <w:rFonts w:ascii="Times New Roman" w:hAnsi="Times New Roman" w:cs="Times New Roman"/>
          <w:b/>
          <w:bCs/>
          <w:color w:val="000000"/>
          <w:sz w:val="24"/>
          <w:szCs w:val="24"/>
        </w:rPr>
        <w:t xml:space="preserve"> POR LOTE</w:t>
      </w:r>
      <w:r w:rsidR="007128D3">
        <w:rPr>
          <w:rFonts w:ascii="Times New Roman" w:hAnsi="Times New Roman" w:cs="Times New Roman"/>
          <w:b/>
          <w:bCs/>
          <w:color w:val="000000"/>
          <w:sz w:val="24"/>
          <w:szCs w:val="24"/>
        </w:rPr>
        <w:t>/ITEM</w:t>
      </w:r>
      <w:r w:rsidRPr="00536C22">
        <w:rPr>
          <w:rFonts w:ascii="Times New Roman" w:hAnsi="Times New Roman" w:cs="Times New Roman"/>
          <w:b/>
          <w:bCs/>
          <w:color w:val="000000"/>
          <w:sz w:val="24"/>
          <w:szCs w:val="24"/>
        </w:rPr>
        <w:t xml:space="preserve">, </w:t>
      </w:r>
      <w:r w:rsidR="00536C22" w:rsidRPr="00536C22">
        <w:rPr>
          <w:rFonts w:ascii="Times New Roman" w:hAnsi="Times New Roman" w:cs="Times New Roman"/>
          <w:b/>
          <w:bCs/>
          <w:sz w:val="24"/>
          <w:szCs w:val="24"/>
        </w:rPr>
        <w:t xml:space="preserve"> execução indireta, empreitada por preço </w:t>
      </w:r>
      <w:r w:rsidR="0093207A">
        <w:rPr>
          <w:rFonts w:ascii="Times New Roman" w:hAnsi="Times New Roman" w:cs="Times New Roman"/>
          <w:b/>
          <w:bCs/>
          <w:sz w:val="24"/>
          <w:szCs w:val="24"/>
        </w:rPr>
        <w:t>unitário</w:t>
      </w:r>
      <w:r w:rsidR="00536C22" w:rsidRPr="00536C22">
        <w:rPr>
          <w:rFonts w:ascii="Times New Roman" w:hAnsi="Times New Roman" w:cs="Times New Roman"/>
          <w:b/>
          <w:bCs/>
          <w:sz w:val="24"/>
          <w:szCs w:val="24"/>
        </w:rPr>
        <w:t xml:space="preserve">, </w:t>
      </w:r>
      <w:r w:rsidR="00536C22" w:rsidRPr="00536C22">
        <w:rPr>
          <w:rFonts w:ascii="Times New Roman" w:hAnsi="Times New Roman" w:cs="Times New Roman"/>
          <w:b/>
          <w:sz w:val="24"/>
          <w:szCs w:val="24"/>
        </w:rPr>
        <w:t>na modalidade de</w:t>
      </w:r>
      <w:r w:rsidR="00536C22" w:rsidRPr="00536C22">
        <w:rPr>
          <w:rFonts w:ascii="Times New Roman" w:hAnsi="Times New Roman" w:cs="Times New Roman"/>
          <w:sz w:val="24"/>
          <w:szCs w:val="24"/>
        </w:rPr>
        <w:t xml:space="preserve"> </w:t>
      </w:r>
      <w:r w:rsidR="00536C22" w:rsidRPr="00536C22">
        <w:rPr>
          <w:rFonts w:ascii="Times New Roman" w:hAnsi="Times New Roman" w:cs="Times New Roman"/>
          <w:b/>
          <w:bCs/>
          <w:sz w:val="24"/>
          <w:szCs w:val="24"/>
        </w:rPr>
        <w:t>pregão eletrônico</w:t>
      </w:r>
      <w:r w:rsidR="00885B0F" w:rsidRPr="00536C22">
        <w:rPr>
          <w:rFonts w:ascii="Times New Roman" w:hAnsi="Times New Roman" w:cs="Times New Roman"/>
          <w:b/>
          <w:bCs/>
          <w:color w:val="000000"/>
          <w:sz w:val="24"/>
          <w:szCs w:val="24"/>
        </w:rPr>
        <w:t>,</w:t>
      </w:r>
      <w:r w:rsidR="00885B0F" w:rsidRPr="00536C22">
        <w:rPr>
          <w:rFonts w:ascii="Times New Roman" w:eastAsia="Times New Roman" w:hAnsi="Times New Roman" w:cs="Times New Roman"/>
          <w:b/>
          <w:sz w:val="24"/>
          <w:szCs w:val="24"/>
          <w:lang w:eastAsia="pt-BR"/>
        </w:rPr>
        <w:t xml:space="preserve"> para</w:t>
      </w:r>
      <w:r w:rsidRPr="00536C22">
        <w:rPr>
          <w:rFonts w:ascii="Times New Roman" w:eastAsia="Times New Roman" w:hAnsi="Times New Roman" w:cs="Times New Roman"/>
          <w:b/>
          <w:sz w:val="24"/>
          <w:szCs w:val="24"/>
          <w:lang w:eastAsia="pt-BR"/>
        </w:rPr>
        <w:t xml:space="preserve"> </w:t>
      </w:r>
      <w:r w:rsidR="00E06CD2" w:rsidRPr="00536C22">
        <w:rPr>
          <w:rStyle w:val="Fontepargpadro1"/>
          <w:rFonts w:ascii="Times New Roman" w:eastAsia="Arial, Arial" w:hAnsi="Times New Roman" w:cs="Times New Roman"/>
          <w:b/>
          <w:color w:val="000000"/>
          <w:sz w:val="24"/>
          <w:szCs w:val="24"/>
        </w:rPr>
        <w:t xml:space="preserve">contratação de Serviço Técnico Especializado e aquisição de licenças de produtos Microsoft, na modalidade </w:t>
      </w:r>
      <w:r w:rsidR="00E06CD2" w:rsidRPr="00536C22">
        <w:rPr>
          <w:rStyle w:val="Fontepargpadro1"/>
          <w:rFonts w:ascii="Times New Roman" w:eastAsia="Arial, Arial" w:hAnsi="Times New Roman" w:cs="Times New Roman"/>
          <w:b/>
          <w:i/>
          <w:color w:val="000000"/>
          <w:sz w:val="24"/>
          <w:szCs w:val="24"/>
        </w:rPr>
        <w:t xml:space="preserve">Microsoft Enterprise </w:t>
      </w:r>
      <w:proofErr w:type="spellStart"/>
      <w:r w:rsidR="00E06CD2" w:rsidRPr="00536C22">
        <w:rPr>
          <w:rStyle w:val="Fontepargpadro1"/>
          <w:rFonts w:ascii="Times New Roman" w:eastAsia="Arial, Arial" w:hAnsi="Times New Roman" w:cs="Times New Roman"/>
          <w:b/>
          <w:i/>
          <w:color w:val="000000"/>
          <w:sz w:val="24"/>
          <w:szCs w:val="24"/>
        </w:rPr>
        <w:t>Agreement</w:t>
      </w:r>
      <w:proofErr w:type="spellEnd"/>
      <w:r w:rsidR="00E06CD2" w:rsidRPr="00536C22">
        <w:rPr>
          <w:rStyle w:val="Fontepargpadro1"/>
          <w:rFonts w:ascii="Times New Roman" w:eastAsia="Arial, Arial" w:hAnsi="Times New Roman" w:cs="Times New Roman"/>
          <w:b/>
          <w:color w:val="000000"/>
          <w:sz w:val="24"/>
          <w:szCs w:val="24"/>
        </w:rPr>
        <w:t xml:space="preserve"> (EA),</w:t>
      </w:r>
      <w:r w:rsidR="00E06CD2" w:rsidRPr="00E06CD2">
        <w:rPr>
          <w:rStyle w:val="Fontepargpadro1"/>
          <w:rFonts w:ascii="Times New Roman" w:eastAsia="Arial, Arial" w:hAnsi="Times New Roman" w:cs="Times New Roman"/>
          <w:b/>
          <w:color w:val="000000"/>
          <w:sz w:val="24"/>
          <w:szCs w:val="24"/>
        </w:rPr>
        <w:t xml:space="preserve"> com a respectiva prestação de garantia, </w:t>
      </w:r>
      <w:r w:rsidR="0093207A" w:rsidRPr="0093207A">
        <w:rPr>
          <w:rStyle w:val="Fontepargpadro1"/>
          <w:rFonts w:ascii="Times New Roman" w:eastAsia="Arial, Arial" w:hAnsi="Times New Roman" w:cs="Times New Roman"/>
          <w:b/>
          <w:color w:val="000000"/>
          <w:sz w:val="24"/>
          <w:szCs w:val="24"/>
        </w:rPr>
        <w:t>por um período de 36 (trinta e seis) meses</w:t>
      </w:r>
      <w:r w:rsidR="0093207A">
        <w:rPr>
          <w:rStyle w:val="Fontepargpadro1"/>
          <w:rFonts w:ascii="Times New Roman" w:eastAsia="Arial, Arial" w:hAnsi="Times New Roman" w:cs="Times New Roman"/>
          <w:b/>
          <w:color w:val="000000"/>
          <w:sz w:val="24"/>
          <w:szCs w:val="24"/>
        </w:rPr>
        <w:t>,</w:t>
      </w:r>
      <w:r w:rsidR="00E06CD2" w:rsidRPr="00E06CD2">
        <w:rPr>
          <w:rStyle w:val="Fontepargpadro1"/>
          <w:rFonts w:ascii="Times New Roman" w:eastAsia="Arial, Arial" w:hAnsi="Times New Roman" w:cs="Times New Roman"/>
          <w:b/>
          <w:color w:val="000000"/>
          <w:sz w:val="24"/>
          <w:szCs w:val="24"/>
        </w:rPr>
        <w:t xml:space="preserve"> a fim de atender as necessidades corporativas do CNMP</w:t>
      </w:r>
      <w:r w:rsidRPr="00E06CD2">
        <w:rPr>
          <w:rFonts w:ascii="Times New Roman" w:hAnsi="Times New Roman" w:cs="Times New Roman"/>
          <w:b/>
          <w:bCs/>
          <w:sz w:val="24"/>
          <w:szCs w:val="24"/>
        </w:rPr>
        <w:t>.</w:t>
      </w:r>
      <w:r w:rsidRPr="00E06CD2">
        <w:rPr>
          <w:rFonts w:ascii="Times New Roman" w:hAnsi="Times New Roman" w:cs="Times New Roman"/>
          <w:b/>
          <w:sz w:val="24"/>
          <w:szCs w:val="24"/>
        </w:rPr>
        <w:t xml:space="preserve"> </w:t>
      </w:r>
      <w:r>
        <w:rPr>
          <w:rFonts w:ascii="Times New Roman" w:hAnsi="Times New Roman" w:cs="Times New Roman"/>
          <w:sz w:val="24"/>
          <w:szCs w:val="24"/>
        </w:rPr>
        <w:t>A presente licitação será regida pela Lei n</w:t>
      </w:r>
      <w:r>
        <w:rPr>
          <w:rFonts w:ascii="Times New Roman" w:hAnsi="Times New Roman" w:cs="Trebuchet MS"/>
          <w:sz w:val="24"/>
          <w:szCs w:val="24"/>
        </w:rPr>
        <w:t xml:space="preserve">º 10.520 </w:t>
      </w:r>
      <w:r>
        <w:rPr>
          <w:rFonts w:ascii="Times New Roman" w:eastAsia="Arial" w:hAnsi="Times New Roman" w:cs="Arial"/>
          <w:sz w:val="24"/>
          <w:szCs w:val="24"/>
        </w:rPr>
        <w:t xml:space="preserve">de </w:t>
      </w:r>
      <w:r>
        <w:rPr>
          <w:rFonts w:ascii="Times New Roman" w:eastAsia="Arial" w:hAnsi="Times New Roman" w:cs="Arial"/>
          <w:sz w:val="24"/>
          <w:szCs w:val="24"/>
        </w:rPr>
        <w:lastRenderedPageBreak/>
        <w:t>17/07/2002 e Lei nº 8.666 de 21/06/</w:t>
      </w:r>
      <w:proofErr w:type="gramStart"/>
      <w:r>
        <w:rPr>
          <w:rFonts w:ascii="Times New Roman" w:eastAsia="Arial" w:hAnsi="Times New Roman" w:cs="Arial"/>
          <w:sz w:val="24"/>
          <w:szCs w:val="24"/>
        </w:rPr>
        <w:t>1993</w:t>
      </w:r>
      <w:r>
        <w:rPr>
          <w:rFonts w:ascii="Times New Roman" w:hAnsi="Times New Roman" w:cs="Trebuchet MS"/>
          <w:sz w:val="24"/>
          <w:szCs w:val="24"/>
        </w:rPr>
        <w:t>,  pelo</w:t>
      </w:r>
      <w:proofErr w:type="gramEnd"/>
      <w:r>
        <w:rPr>
          <w:rFonts w:ascii="Times New Roman" w:hAnsi="Times New Roman" w:cs="Trebuchet MS"/>
          <w:sz w:val="24"/>
          <w:szCs w:val="24"/>
        </w:rPr>
        <w:t xml:space="preserve"> </w:t>
      </w:r>
      <w:r>
        <w:rPr>
          <w:rFonts w:ascii="Times New Roman" w:eastAsia="CourierNewPSMT" w:hAnsi="Times New Roman" w:cs="CourierNewPSMT"/>
          <w:sz w:val="24"/>
          <w:szCs w:val="24"/>
        </w:rPr>
        <w:t xml:space="preserve">Decreto 5.450, de 31/05/2005,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 – CONDIÇÕES PRELIMINARES</w:t>
      </w:r>
    </w:p>
    <w:p w:rsidR="00A11032" w:rsidRDefault="00A11032">
      <w:pPr>
        <w:pStyle w:val="Standard"/>
        <w:spacing w:line="360" w:lineRule="auto"/>
        <w:ind w:firstLine="1417"/>
        <w:jc w:val="both"/>
        <w:rPr>
          <w:rFonts w:eastAsia="CourierNewPS-BoldMT" w:cs="CourierNewPS-BoldMT"/>
          <w:b/>
          <w:bCs/>
          <w:sz w:val="24"/>
          <w:szCs w:val="24"/>
        </w:rPr>
      </w:pP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A11032" w:rsidRDefault="00EE68D3">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A11032" w:rsidRDefault="00A11032">
      <w:pPr>
        <w:pStyle w:val="Standard"/>
        <w:spacing w:line="360" w:lineRule="auto"/>
        <w:ind w:firstLine="1417"/>
        <w:jc w:val="both"/>
      </w:pPr>
    </w:p>
    <w:p w:rsidR="00A11032" w:rsidRDefault="00EE68D3">
      <w:pPr>
        <w:pStyle w:val="Standard"/>
        <w:spacing w:line="360" w:lineRule="auto"/>
        <w:ind w:firstLine="1417"/>
        <w:jc w:val="both"/>
        <w:rPr>
          <w:rFonts w:eastAsia="Arial" w:cs="Arial"/>
          <w:sz w:val="24"/>
          <w:szCs w:val="24"/>
        </w:rPr>
      </w:pPr>
      <w:r>
        <w:rPr>
          <w:sz w:val="24"/>
          <w:szCs w:val="24"/>
        </w:rPr>
        <w:t>2.1 A presente licitação tem por objeto</w:t>
      </w:r>
      <w:r w:rsidRPr="005D64A7">
        <w:rPr>
          <w:b/>
          <w:bCs/>
          <w:sz w:val="24"/>
          <w:szCs w:val="24"/>
        </w:rPr>
        <w:t xml:space="preserve"> </w:t>
      </w:r>
      <w:r w:rsidR="00E06CD2" w:rsidRPr="00E06CD2">
        <w:rPr>
          <w:rStyle w:val="Fontepargpadro1"/>
          <w:rFonts w:eastAsia="Arial, Arial" w:cs="Times New Roman"/>
          <w:b/>
          <w:color w:val="000000"/>
          <w:sz w:val="24"/>
          <w:szCs w:val="24"/>
        </w:rPr>
        <w:t xml:space="preserve">contratação de Serviço Técnico Especializado e aquisição de licenças de produtos Microsoft, na modalidade </w:t>
      </w:r>
      <w:r w:rsidR="00E06CD2" w:rsidRPr="00E06CD2">
        <w:rPr>
          <w:rStyle w:val="Fontepargpadro1"/>
          <w:rFonts w:eastAsia="Arial, Arial" w:cs="Times New Roman"/>
          <w:b/>
          <w:i/>
          <w:color w:val="000000"/>
          <w:sz w:val="24"/>
          <w:szCs w:val="24"/>
        </w:rPr>
        <w:t xml:space="preserve">Microsoft Enterprise </w:t>
      </w:r>
      <w:proofErr w:type="spellStart"/>
      <w:r w:rsidR="00E06CD2" w:rsidRPr="00E06CD2">
        <w:rPr>
          <w:rStyle w:val="Fontepargpadro1"/>
          <w:rFonts w:eastAsia="Arial, Arial" w:cs="Times New Roman"/>
          <w:b/>
          <w:i/>
          <w:color w:val="000000"/>
          <w:sz w:val="24"/>
          <w:szCs w:val="24"/>
        </w:rPr>
        <w:t>Agreement</w:t>
      </w:r>
      <w:proofErr w:type="spellEnd"/>
      <w:r w:rsidR="00E06CD2" w:rsidRPr="00E06CD2">
        <w:rPr>
          <w:rStyle w:val="Fontepargpadro1"/>
          <w:rFonts w:eastAsia="Arial, Arial" w:cs="Times New Roman"/>
          <w:b/>
          <w:color w:val="000000"/>
          <w:sz w:val="24"/>
          <w:szCs w:val="24"/>
        </w:rPr>
        <w:t xml:space="preserve"> (EA), com a respectiva prestação de garantia,</w:t>
      </w:r>
      <w:r w:rsidR="0093207A">
        <w:rPr>
          <w:rStyle w:val="Fontepargpadro1"/>
          <w:rFonts w:eastAsia="Arial, Arial" w:cs="Times New Roman"/>
          <w:b/>
          <w:color w:val="000000"/>
          <w:sz w:val="24"/>
          <w:szCs w:val="24"/>
        </w:rPr>
        <w:t xml:space="preserve"> por um período de 36 (trinta e seis) meses</w:t>
      </w:r>
      <w:r w:rsidR="00E06CD2" w:rsidRPr="00E06CD2">
        <w:rPr>
          <w:rStyle w:val="Fontepargpadro1"/>
          <w:rFonts w:eastAsia="Arial, Arial" w:cs="Times New Roman"/>
          <w:b/>
          <w:color w:val="000000"/>
          <w:sz w:val="24"/>
          <w:szCs w:val="24"/>
        </w:rPr>
        <w:t>, a fim de atender as necessidades corporativas do CNMP</w:t>
      </w:r>
      <w:r>
        <w:rPr>
          <w:rFonts w:eastAsia="Times New Roman" w:cs="Franklin Gothic Medium"/>
          <w:b/>
          <w:bCs/>
          <w:sz w:val="24"/>
          <w:szCs w:val="24"/>
          <w:lang w:eastAsia="pt-BR"/>
        </w:rPr>
        <w:t>,</w:t>
      </w:r>
      <w:r>
        <w:rPr>
          <w:rFonts w:eastAsia="Arial" w:cs="Arial"/>
          <w:b/>
          <w:bCs/>
          <w:sz w:val="24"/>
          <w:szCs w:val="24"/>
          <w:lang w:eastAsia="pt-BR"/>
        </w:rPr>
        <w:t xml:space="preserve"> </w:t>
      </w:r>
      <w:r>
        <w:rPr>
          <w:rFonts w:eastAsia="CourierNewPSMT" w:cs="CourierNewPSMT"/>
          <w:sz w:val="24"/>
          <w:szCs w:val="24"/>
        </w:rPr>
        <w:t>conforme especificações</w:t>
      </w:r>
      <w:r>
        <w:rPr>
          <w:b/>
          <w:bCs/>
          <w:sz w:val="24"/>
          <w:szCs w:val="24"/>
        </w:rPr>
        <w:t xml:space="preserve"> </w:t>
      </w:r>
      <w:r>
        <w:rPr>
          <w:rFonts w:eastAsia="Arial" w:cs="Arial"/>
          <w:sz w:val="24"/>
          <w:szCs w:val="24"/>
        </w:rPr>
        <w:t>constantes do Anexo I (Termo de Referência) e as condições estabelecidas, que fazem parte integrante deste edital, para todos os fins e efeitos:</w:t>
      </w:r>
    </w:p>
    <w:p w:rsidR="00BD76F8" w:rsidRDefault="00BD76F8">
      <w:pPr>
        <w:pStyle w:val="Standard"/>
        <w:spacing w:line="360" w:lineRule="auto"/>
        <w:ind w:firstLine="1417"/>
        <w:jc w:val="both"/>
      </w:pPr>
    </w:p>
    <w:p w:rsidR="00A11032" w:rsidRDefault="00EE68D3">
      <w:pPr>
        <w:pStyle w:val="Standard"/>
        <w:numPr>
          <w:ilvl w:val="0"/>
          <w:numId w:val="117"/>
        </w:numPr>
        <w:spacing w:line="360" w:lineRule="auto"/>
        <w:jc w:val="both"/>
        <w:rPr>
          <w:sz w:val="24"/>
          <w:szCs w:val="24"/>
        </w:rPr>
      </w:pPr>
      <w:r>
        <w:rPr>
          <w:sz w:val="24"/>
          <w:szCs w:val="24"/>
        </w:rPr>
        <w:t>Termo de Referência - Anexo I;</w:t>
      </w:r>
    </w:p>
    <w:p w:rsidR="00A11032" w:rsidRDefault="00EE68D3">
      <w:pPr>
        <w:pStyle w:val="Standard"/>
        <w:numPr>
          <w:ilvl w:val="0"/>
          <w:numId w:val="117"/>
        </w:numPr>
        <w:spacing w:line="360" w:lineRule="auto"/>
        <w:jc w:val="both"/>
        <w:rPr>
          <w:sz w:val="24"/>
          <w:szCs w:val="24"/>
        </w:rPr>
      </w:pPr>
      <w:r>
        <w:rPr>
          <w:sz w:val="24"/>
          <w:szCs w:val="24"/>
        </w:rPr>
        <w:t>Planilhas de Custos e Formação de Preços – Anexo II;</w:t>
      </w:r>
    </w:p>
    <w:p w:rsidR="00064C17" w:rsidRDefault="00536C22" w:rsidP="00064C17">
      <w:pPr>
        <w:pStyle w:val="Standard"/>
        <w:numPr>
          <w:ilvl w:val="0"/>
          <w:numId w:val="117"/>
        </w:numPr>
        <w:spacing w:line="360" w:lineRule="auto"/>
        <w:jc w:val="both"/>
        <w:rPr>
          <w:sz w:val="24"/>
          <w:szCs w:val="24"/>
        </w:rPr>
      </w:pPr>
      <w:r>
        <w:rPr>
          <w:sz w:val="24"/>
          <w:szCs w:val="24"/>
        </w:rPr>
        <w:t>Declaração de Regularidade – Anexo III</w:t>
      </w:r>
      <w:r w:rsidR="00064C17">
        <w:rPr>
          <w:sz w:val="24"/>
          <w:szCs w:val="24"/>
        </w:rPr>
        <w:t>;</w:t>
      </w:r>
    </w:p>
    <w:p w:rsidR="00536C22" w:rsidRDefault="00536C22" w:rsidP="00536C22">
      <w:pPr>
        <w:pStyle w:val="Standard"/>
        <w:numPr>
          <w:ilvl w:val="0"/>
          <w:numId w:val="117"/>
        </w:numPr>
        <w:spacing w:line="360" w:lineRule="auto"/>
        <w:jc w:val="both"/>
        <w:rPr>
          <w:sz w:val="24"/>
          <w:szCs w:val="24"/>
        </w:rPr>
      </w:pPr>
      <w:r>
        <w:rPr>
          <w:sz w:val="24"/>
          <w:szCs w:val="24"/>
        </w:rPr>
        <w:t>Minuta de Contrato - Anexo IV.</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A11032" w:rsidRDefault="00A11032">
      <w:pPr>
        <w:pStyle w:val="Standard"/>
        <w:spacing w:line="360" w:lineRule="auto"/>
        <w:ind w:firstLine="1417"/>
        <w:jc w:val="both"/>
        <w:rPr>
          <w:sz w:val="24"/>
          <w:szCs w:val="24"/>
        </w:rPr>
      </w:pPr>
    </w:p>
    <w:p w:rsidR="000B2BA1" w:rsidRPr="000B2BA1" w:rsidRDefault="00EE68D3" w:rsidP="000B2BA1">
      <w:pPr>
        <w:pStyle w:val="Textbody"/>
        <w:spacing w:after="0" w:line="360" w:lineRule="auto"/>
        <w:ind w:firstLine="1417"/>
        <w:jc w:val="both"/>
        <w:rPr>
          <w:rFonts w:ascii="Times New Roman" w:hAnsi="Times New Roman" w:cs="Times New Roman"/>
          <w:sz w:val="24"/>
          <w:szCs w:val="24"/>
        </w:rPr>
      </w:pPr>
      <w:r>
        <w:rPr>
          <w:rFonts w:ascii="Times New Roman" w:hAnsi="Times New Roman"/>
          <w:sz w:val="24"/>
          <w:szCs w:val="24"/>
        </w:rPr>
        <w:tab/>
        <w:t xml:space="preserve">3.1 </w:t>
      </w:r>
      <w:r w:rsidR="000B2BA1" w:rsidRPr="000B2BA1">
        <w:rPr>
          <w:rFonts w:ascii="Times New Roman" w:hAnsi="Times New Roman" w:cs="Times New Roman"/>
          <w:sz w:val="24"/>
          <w:szCs w:val="24"/>
        </w:rPr>
        <w:t xml:space="preserve">Poderão participar desta licitação: pessoas jurídicas que explorem ramo de atividade compatível com o objeto licitado e que atendam às condições exigidas neste Edital e seus </w:t>
      </w:r>
      <w:r w:rsidR="000B2BA1" w:rsidRPr="000B2BA1">
        <w:rPr>
          <w:rFonts w:ascii="Times New Roman" w:hAnsi="Times New Roman" w:cs="Times New Roman"/>
          <w:sz w:val="24"/>
          <w:szCs w:val="24"/>
        </w:rPr>
        <w:lastRenderedPageBreak/>
        <w:t xml:space="preserve">anexos, e estejam devidamente credenciadas, por meio do sítio </w:t>
      </w:r>
      <w:hyperlink r:id="rId8" w:history="1">
        <w:r w:rsidR="000B2BA1" w:rsidRPr="000B2BA1">
          <w:rPr>
            <w:rStyle w:val="LinkdaInternet"/>
            <w:rFonts w:ascii="Times New Roman" w:hAnsi="Times New Roman" w:cs="Times New Roman"/>
            <w:b/>
            <w:sz w:val="24"/>
            <w:szCs w:val="24"/>
          </w:rPr>
          <w:t>www.comprasgovernamentais.gov.br</w:t>
        </w:r>
      </w:hyperlink>
      <w:r w:rsidR="000B2BA1" w:rsidRPr="000B2BA1">
        <w:rPr>
          <w:rFonts w:ascii="Times New Roman" w:hAnsi="Times New Roman" w:cs="Times New Roman"/>
          <w:sz w:val="24"/>
          <w:szCs w:val="24"/>
        </w:rPr>
        <w:t>, para acesso ao sistema eletrônico, atendidas as demais exigências deste Edital e seus anexos</w:t>
      </w:r>
    </w:p>
    <w:p w:rsidR="00A11032" w:rsidRDefault="000B2BA1" w:rsidP="000B2BA1">
      <w:pPr>
        <w:pStyle w:val="Textbody"/>
        <w:spacing w:after="0" w:line="360" w:lineRule="auto"/>
        <w:ind w:firstLine="1417"/>
        <w:jc w:val="both"/>
        <w:rPr>
          <w:rFonts w:ascii="Times New Roman" w:hAnsi="Times New Roman"/>
          <w:b/>
          <w:bCs/>
          <w:sz w:val="24"/>
          <w:szCs w:val="24"/>
        </w:rPr>
      </w:pPr>
      <w:r>
        <w:t xml:space="preserve">3.2 </w:t>
      </w:r>
      <w:r w:rsidR="00EE68D3">
        <w:rPr>
          <w:rFonts w:ascii="Times New Roman" w:hAnsi="Times New Roman"/>
          <w:b/>
          <w:bCs/>
          <w:sz w:val="24"/>
          <w:szCs w:val="24"/>
        </w:rPr>
        <w:t>Não poderá participar desta licitação: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  consórcio de empresas, qualquer que seja sua forma de constituição;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A11032" w:rsidRDefault="00EE68D3">
      <w:pPr>
        <w:pStyle w:val="Standard"/>
        <w:spacing w:line="360" w:lineRule="auto"/>
        <w:ind w:firstLine="1417"/>
        <w:jc w:val="both"/>
        <w:rPr>
          <w:sz w:val="24"/>
          <w:szCs w:val="24"/>
        </w:rPr>
      </w:pPr>
      <w:r>
        <w:rPr>
          <w:sz w:val="24"/>
          <w:szCs w:val="24"/>
        </w:rPr>
        <w:t>c) empresa apenada com o impedimento de licitar e contratar com a união;</w:t>
      </w:r>
    </w:p>
    <w:p w:rsidR="00A11032" w:rsidRDefault="00EE68D3">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A11032" w:rsidRDefault="00EE68D3">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A11032" w:rsidRDefault="00EE68D3">
      <w:pPr>
        <w:pStyle w:val="Standard"/>
        <w:spacing w:line="360" w:lineRule="auto"/>
        <w:ind w:firstLine="1417"/>
        <w:jc w:val="both"/>
        <w:rPr>
          <w:sz w:val="24"/>
          <w:szCs w:val="24"/>
        </w:rPr>
      </w:pPr>
      <w:r>
        <w:rPr>
          <w:sz w:val="24"/>
          <w:szCs w:val="24"/>
        </w:rPr>
        <w:t>f) empresa em regime de subcontratação.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11032" w:rsidRDefault="00EE68D3">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A11032" w:rsidRDefault="00EE68D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A11032" w:rsidRDefault="00EE68D3">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lastRenderedPageBreak/>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4 – DO CREDENCIAMENTO</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9" w:history="1">
        <w:r>
          <w:rPr>
            <w:rStyle w:val="Internetlink"/>
            <w:b/>
            <w:sz w:val="24"/>
            <w:szCs w:val="24"/>
          </w:rPr>
          <w:t>www.comprasgovernamentais.gov.br</w:t>
        </w:r>
      </w:hyperlink>
      <w:r>
        <w:rPr>
          <w:b/>
          <w:bCs/>
          <w:sz w:val="24"/>
          <w:szCs w:val="24"/>
          <w:lang w:eastAsia="pt-BR"/>
        </w:rPr>
        <w:t>.</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11032" w:rsidRDefault="00EE68D3">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rPr>
          <w:b/>
          <w:sz w:val="24"/>
          <w:szCs w:val="24"/>
        </w:rPr>
      </w:pPr>
      <w:r>
        <w:rPr>
          <w:b/>
          <w:sz w:val="24"/>
          <w:szCs w:val="24"/>
        </w:rPr>
        <w:t>5 – DO ENVIO DA PROPOSTA DE PREÇOS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A11032" w:rsidRDefault="00EE68D3">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A11032" w:rsidRDefault="00EE68D3">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A11032" w:rsidRDefault="00EE68D3">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A11032" w:rsidRDefault="00EE68D3">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11032" w:rsidRDefault="00EE68D3">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A11032" w:rsidRDefault="00EE68D3">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w:t>
      </w:r>
      <w:r w:rsidR="008B672A">
        <w:rPr>
          <w:sz w:val="24"/>
          <w:szCs w:val="24"/>
        </w:rPr>
        <w:t xml:space="preserve">o </w:t>
      </w:r>
      <w:hyperlink r:id="rId10" w:history="1">
        <w:r w:rsidR="008B672A" w:rsidRPr="00925092">
          <w:rPr>
            <w:rStyle w:val="Hyperlink"/>
            <w:sz w:val="24"/>
            <w:szCs w:val="24"/>
          </w:rPr>
          <w:t>licitacoes@cnmp.mp.br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lastRenderedPageBreak/>
        <w:t>5.6.1 Antes de findo o prazo para envio da documentação acima estabelecido, este poderá ser prorrogado, a critério do pregoeiro, por solicitação escrita e justificada do licitante, via chat no COMPRASNET.</w:t>
      </w:r>
    </w:p>
    <w:p w:rsidR="00A11032" w:rsidRDefault="00EE68D3">
      <w:pPr>
        <w:pStyle w:val="Standard"/>
        <w:spacing w:line="360" w:lineRule="auto"/>
        <w:ind w:firstLine="1417"/>
        <w:jc w:val="both"/>
      </w:pPr>
      <w:r>
        <w:rPr>
          <w:sz w:val="24"/>
          <w:szCs w:val="24"/>
        </w:rPr>
        <w:tab/>
        <w:t>5.6.2. Prazo de validade da proposta não poderá ser inferior a 60 (sessenta) dias, a contar da data de sua apresentação;</w:t>
      </w:r>
    </w:p>
    <w:p w:rsidR="00A11032" w:rsidRDefault="00EE68D3">
      <w:pPr>
        <w:pStyle w:val="Standard"/>
        <w:spacing w:line="360" w:lineRule="auto"/>
        <w:ind w:firstLine="1417"/>
        <w:jc w:val="both"/>
        <w:rPr>
          <w:sz w:val="24"/>
          <w:szCs w:val="24"/>
        </w:rPr>
      </w:pPr>
      <w:r>
        <w:rPr>
          <w:sz w:val="24"/>
          <w:szCs w:val="24"/>
        </w:rPr>
        <w:tab/>
        <w:t>5.6.3. A especificação deverá ser clara e completa, ou seja, detalhamento do objeto, observadas as especificações básicas constantes do Termo de Referência – Anexo I do Edital;</w:t>
      </w:r>
    </w:p>
    <w:p w:rsidR="00A11032" w:rsidRDefault="00EE68D3">
      <w:pPr>
        <w:pStyle w:val="Standard"/>
        <w:spacing w:line="360" w:lineRule="auto"/>
        <w:ind w:firstLine="1417"/>
        <w:jc w:val="both"/>
      </w:pPr>
      <w:r>
        <w:rPr>
          <w:sz w:val="24"/>
          <w:szCs w:val="24"/>
        </w:rPr>
        <w:t>5.6.4 Preço unitário e total, de acordo com os preços praticados no mercado, conforme estabelece o art. 43, inciso IV, da Lei nº 8.666/93, expresso em moeda corrente nacional (R$), considerando as quantidades constantes do Anexo I deste Edital;</w:t>
      </w:r>
    </w:p>
    <w:p w:rsidR="00A11032" w:rsidRDefault="00EE68D3">
      <w:pPr>
        <w:pStyle w:val="Standard"/>
        <w:spacing w:line="360" w:lineRule="auto"/>
        <w:ind w:firstLine="1417"/>
        <w:jc w:val="both"/>
      </w:pPr>
      <w:r>
        <w:rPr>
          <w:sz w:val="24"/>
          <w:szCs w:val="24"/>
        </w:rPr>
        <w:tab/>
        <w:t>5.7 A apresentação da proposta implicará na plena aceitação, por parte do proponente, das condições estabelecidas neste Edital e seus anexos.</w:t>
      </w:r>
    </w:p>
    <w:p w:rsidR="00A11032" w:rsidRDefault="00EE68D3">
      <w:pPr>
        <w:pStyle w:val="Standard"/>
        <w:spacing w:line="360" w:lineRule="auto"/>
        <w:ind w:firstLine="1417"/>
        <w:jc w:val="both"/>
      </w:pPr>
      <w:r>
        <w:rPr>
          <w:sz w:val="24"/>
          <w:szCs w:val="24"/>
        </w:rPr>
        <w:tab/>
        <w:t>5.8 O número do CNPJ indicado nos documentos de habilitação e na proposta de preços deverá ser do mesmo estabelecimento da licitante que efetivamente vai realizar os serviços objeto da presente licitação.</w:t>
      </w:r>
    </w:p>
    <w:p w:rsidR="00A11032" w:rsidRDefault="00EE68D3">
      <w:pPr>
        <w:pStyle w:val="Standard"/>
        <w:spacing w:line="360" w:lineRule="auto"/>
        <w:ind w:firstLine="1417"/>
        <w:jc w:val="both"/>
      </w:pPr>
      <w:r>
        <w:rPr>
          <w:sz w:val="24"/>
          <w:szCs w:val="24"/>
        </w:rPr>
        <w:tab/>
        <w:t>5.9 Serão desclassificadas as propostas que não atendam às exigências do presente Edital e seus anexos, que sejam omissas ou que apresentem irregularidades insanáveis.</w:t>
      </w:r>
    </w:p>
    <w:p w:rsidR="00A11032" w:rsidRDefault="00EE68D3">
      <w:pPr>
        <w:pStyle w:val="Standard"/>
        <w:spacing w:line="360" w:lineRule="auto"/>
        <w:ind w:firstLine="1417"/>
        <w:jc w:val="both"/>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A11032" w:rsidRDefault="00EE68D3">
      <w:pPr>
        <w:pStyle w:val="Standard"/>
        <w:spacing w:line="360" w:lineRule="auto"/>
        <w:ind w:firstLine="1417"/>
        <w:jc w:val="both"/>
        <w:rPr>
          <w:sz w:val="24"/>
          <w:szCs w:val="24"/>
        </w:rPr>
      </w:pPr>
      <w:r>
        <w:rPr>
          <w:sz w:val="24"/>
          <w:szCs w:val="24"/>
        </w:rPr>
        <w:t>5.10.1 O ônus da prova da exequibilidade dos preços cotados incumbe ao autor da proposta, no prazo de cinco dias úteis contados da notificação.</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 xml:space="preserve">6.1 A partir da data e horário previstos no preâmbulo do Edital, terá início a sessão pública do Pregão Eletrônico nº </w:t>
      </w:r>
      <w:r w:rsidR="005D64A7">
        <w:rPr>
          <w:color w:val="000000"/>
          <w:sz w:val="24"/>
          <w:szCs w:val="24"/>
        </w:rPr>
        <w:t>1</w:t>
      </w:r>
      <w:r w:rsidR="00E06CD2">
        <w:rPr>
          <w:color w:val="000000"/>
          <w:sz w:val="24"/>
          <w:szCs w:val="24"/>
        </w:rPr>
        <w:t>7</w:t>
      </w:r>
      <w:r>
        <w:rPr>
          <w:color w:val="000000"/>
          <w:sz w:val="24"/>
          <w:szCs w:val="24"/>
        </w:rPr>
        <w:t>/2019, com a divulgação das propostas de preços recebidas e início da etapa de lances.</w:t>
      </w:r>
    </w:p>
    <w:p w:rsidR="00A11032" w:rsidRDefault="00EE68D3">
      <w:pPr>
        <w:pStyle w:val="Standard"/>
        <w:spacing w:line="360" w:lineRule="auto"/>
        <w:ind w:firstLine="1417"/>
        <w:jc w:val="both"/>
      </w:pPr>
      <w:r>
        <w:rPr>
          <w:color w:val="000000"/>
          <w:sz w:val="24"/>
          <w:szCs w:val="24"/>
        </w:rPr>
        <w:lastRenderedPageBreak/>
        <w:t xml:space="preserve">6.2 Até a abertura da sessão, </w:t>
      </w:r>
      <w:r>
        <w:rPr>
          <w:sz w:val="24"/>
          <w:szCs w:val="24"/>
        </w:rPr>
        <w:t>o</w:t>
      </w:r>
      <w:r>
        <w:rPr>
          <w:color w:val="000000"/>
          <w:sz w:val="24"/>
          <w:szCs w:val="24"/>
        </w:rPr>
        <w:t>s licitantes poderão retirar ou substituir a proposta anteriormente apresentada.</w:t>
      </w:r>
    </w:p>
    <w:p w:rsidR="00A11032" w:rsidRDefault="00EE68D3">
      <w:pPr>
        <w:pStyle w:val="Standard"/>
        <w:spacing w:line="360" w:lineRule="auto"/>
        <w:ind w:firstLine="1417"/>
        <w:jc w:val="both"/>
        <w:rPr>
          <w:color w:val="000000"/>
          <w:sz w:val="24"/>
          <w:szCs w:val="24"/>
        </w:rPr>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A11032" w:rsidRDefault="00EE68D3">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A11032" w:rsidRDefault="00EE68D3">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A11032" w:rsidRDefault="00A11032">
      <w:pPr>
        <w:pStyle w:val="Standard"/>
        <w:tabs>
          <w:tab w:val="left" w:pos="0"/>
        </w:tabs>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07 – DA IMPUGNAÇÃO DO ATO CONVOCATÓRIO E ESCLARECIMENTOS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 xml:space="preserve">Até o dia </w:t>
      </w:r>
      <w:r w:rsidR="002757B4">
        <w:rPr>
          <w:rFonts w:eastAsia="Arial" w:cs="Arial"/>
          <w:b/>
          <w:bCs/>
          <w:sz w:val="24"/>
          <w:szCs w:val="24"/>
        </w:rPr>
        <w:t>25</w:t>
      </w:r>
      <w:r>
        <w:rPr>
          <w:rFonts w:eastAsia="Arial" w:cs="Arial"/>
          <w:b/>
          <w:bCs/>
          <w:sz w:val="24"/>
          <w:szCs w:val="24"/>
        </w:rPr>
        <w:t>/</w:t>
      </w:r>
      <w:r w:rsidR="00EA0FB3">
        <w:rPr>
          <w:rFonts w:eastAsia="Arial" w:cs="Arial"/>
          <w:b/>
          <w:bCs/>
          <w:sz w:val="24"/>
          <w:szCs w:val="24"/>
        </w:rPr>
        <w:t>07</w:t>
      </w:r>
      <w:r>
        <w:rPr>
          <w:rFonts w:eastAsia="Arial" w:cs="Arial"/>
          <w:b/>
          <w:bCs/>
          <w:sz w:val="24"/>
          <w:szCs w:val="24"/>
        </w:rPr>
        <w:t>/2019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1" w:history="1">
        <w:r w:rsidR="008B672A" w:rsidRPr="00925092">
          <w:rPr>
            <w:rStyle w:val="Hyperlink"/>
            <w:sz w:val="24"/>
            <w:szCs w:val="24"/>
          </w:rPr>
          <w:t>licitacoes@cnmp.mp.br</w:t>
        </w:r>
      </w:hyperlink>
      <w:r>
        <w:rPr>
          <w:rFonts w:eastAsia="Arial" w:cs="Arial"/>
          <w:sz w:val="24"/>
          <w:szCs w:val="24"/>
        </w:rPr>
        <w:t>.</w:t>
      </w:r>
    </w:p>
    <w:p w:rsidR="00A11032" w:rsidRDefault="00EE68D3">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A11032" w:rsidRDefault="00EE68D3">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 xml:space="preserve">até o dia </w:t>
      </w:r>
      <w:r w:rsidR="002757B4">
        <w:rPr>
          <w:rFonts w:eastAsia="Arial" w:cs="Arial"/>
          <w:b/>
          <w:bCs/>
          <w:sz w:val="24"/>
          <w:szCs w:val="24"/>
        </w:rPr>
        <w:t>24</w:t>
      </w:r>
      <w:bookmarkStart w:id="0" w:name="_GoBack"/>
      <w:bookmarkEnd w:id="0"/>
      <w:r>
        <w:rPr>
          <w:rFonts w:eastAsia="Arial" w:cs="Arial"/>
          <w:b/>
          <w:bCs/>
          <w:sz w:val="24"/>
          <w:szCs w:val="24"/>
        </w:rPr>
        <w:t>/</w:t>
      </w:r>
      <w:r w:rsidR="00EA0FB3">
        <w:rPr>
          <w:rFonts w:eastAsia="Arial" w:cs="Arial"/>
          <w:b/>
          <w:bCs/>
          <w:sz w:val="24"/>
          <w:szCs w:val="24"/>
        </w:rPr>
        <w:t>07/</w:t>
      </w:r>
      <w:r>
        <w:rPr>
          <w:rFonts w:eastAsia="Arial" w:cs="Arial"/>
          <w:b/>
          <w:bCs/>
          <w:sz w:val="24"/>
          <w:szCs w:val="24"/>
        </w:rPr>
        <w:t>2019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sidR="008B672A">
        <w:rPr>
          <w:rFonts w:eastAsia="Arial" w:cs="Arial"/>
          <w:color w:val="000000"/>
          <w:sz w:val="24"/>
          <w:szCs w:val="24"/>
        </w:rPr>
        <w:t xml:space="preserve"> </w:t>
      </w:r>
      <w:hyperlink r:id="rId12" w:history="1">
        <w:r w:rsidR="008B672A" w:rsidRPr="00925092">
          <w:rPr>
            <w:rStyle w:val="Hyperlink"/>
            <w:rFonts w:eastAsia="Arial" w:cs="Arial"/>
            <w:sz w:val="24"/>
            <w:szCs w:val="24"/>
          </w:rPr>
          <w:t>licitacoes@cnmp.mp.br</w:t>
        </w:r>
      </w:hyperlink>
      <w:r w:rsidR="008B672A">
        <w:rPr>
          <w:rFonts w:eastAsia="Arial" w:cs="Arial"/>
          <w:color w:val="000000"/>
          <w:sz w:val="24"/>
          <w:szCs w:val="24"/>
        </w:rPr>
        <w:t xml:space="preserve"> .</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11032" w:rsidRDefault="00EE68D3">
      <w:pPr>
        <w:pStyle w:val="Standard"/>
        <w:spacing w:line="360" w:lineRule="auto"/>
        <w:ind w:firstLine="1417"/>
        <w:jc w:val="both"/>
        <w:rPr>
          <w:sz w:val="24"/>
          <w:szCs w:val="24"/>
        </w:rPr>
      </w:pPr>
      <w:r>
        <w:rPr>
          <w:sz w:val="24"/>
          <w:szCs w:val="24"/>
        </w:rPr>
        <w:lastRenderedPageBreak/>
        <w:t>8.2 O licitante poderá oferecer lances sucessivos, observados o horário fixado e as regras de aceitação dos mesmos.</w:t>
      </w:r>
    </w:p>
    <w:p w:rsidR="00A11032" w:rsidRDefault="00EE68D3">
      <w:pPr>
        <w:pStyle w:val="Standard"/>
        <w:spacing w:line="360" w:lineRule="auto"/>
        <w:ind w:firstLine="1417"/>
        <w:jc w:val="both"/>
        <w:rPr>
          <w:sz w:val="24"/>
          <w:szCs w:val="24"/>
        </w:rPr>
      </w:pPr>
      <w:r>
        <w:rPr>
          <w:sz w:val="24"/>
          <w:szCs w:val="24"/>
        </w:rPr>
        <w:t>8.3 O licitante somente poderá oferecer lance inferior ao último por ele ofertado e registrado pelo sistema eletrônico.</w:t>
      </w:r>
    </w:p>
    <w:p w:rsidR="00A11032" w:rsidRDefault="00EE68D3">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11032" w:rsidRDefault="00EE68D3">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A11032" w:rsidRDefault="00EE68D3">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11032" w:rsidRDefault="00EE68D3">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A11032" w:rsidRDefault="00EE68D3">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A11032" w:rsidRDefault="00EE68D3">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A11032" w:rsidRDefault="00EE68D3">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11032" w:rsidRDefault="00EE68D3">
      <w:pPr>
        <w:pStyle w:val="Standard"/>
        <w:numPr>
          <w:ilvl w:val="1"/>
          <w:numId w:val="119"/>
        </w:numPr>
        <w:tabs>
          <w:tab w:val="left" w:pos="1982"/>
        </w:tabs>
        <w:spacing w:line="360" w:lineRule="auto"/>
        <w:ind w:left="0" w:firstLine="1417"/>
        <w:jc w:val="both"/>
      </w:pPr>
      <w:r>
        <w:rPr>
          <w:color w:val="000000"/>
          <w:sz w:val="24"/>
          <w:szCs w:val="24"/>
        </w:rPr>
        <w:lastRenderedPageBreak/>
        <w:t xml:space="preserve">Quando a desconexão persistir por tempo superior a 10 (dez) minutos, a sessão deste Pregão será suspensa e terá reinício somente após comunicação expressa aos participantes através do sítio </w:t>
      </w:r>
      <w:hyperlink r:id="rId13" w:history="1">
        <w:r>
          <w:rPr>
            <w:sz w:val="24"/>
            <w:szCs w:val="24"/>
          </w:rPr>
          <w:t>www.comprasnet.gov.br</w:t>
        </w:r>
      </w:hyperlink>
      <w:r>
        <w:rPr>
          <w:color w:val="000000"/>
          <w:sz w:val="24"/>
          <w:szCs w:val="24"/>
        </w:rPr>
        <w:t>.</w:t>
      </w:r>
    </w:p>
    <w:p w:rsidR="00A11032" w:rsidRDefault="00EE68D3">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09 – DO JULGAMENTO DAS PROPOSTAS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w:t>
      </w:r>
      <w:r w:rsidR="0093207A">
        <w:rPr>
          <w:rFonts w:eastAsia="Arial" w:cs="Arial"/>
          <w:b/>
          <w:bCs/>
          <w:sz w:val="24"/>
          <w:szCs w:val="24"/>
        </w:rPr>
        <w:t>por item/lote</w:t>
      </w:r>
      <w:r>
        <w:rPr>
          <w:rFonts w:eastAsia="Arial" w:cs="Arial"/>
          <w:b/>
          <w:bCs/>
          <w:sz w:val="24"/>
          <w:szCs w:val="24"/>
        </w:rPr>
        <w:t>, sendo aceita somente duas casas decimais, com o valor unitário exato (sem dízimas), conforme as planilhas de Formação de Preços constantes do Anexo II.</w:t>
      </w:r>
    </w:p>
    <w:p w:rsidR="00A11032" w:rsidRDefault="00EE68D3">
      <w:pPr>
        <w:pStyle w:val="Standard"/>
        <w:spacing w:line="360" w:lineRule="auto"/>
        <w:ind w:firstLine="1417"/>
        <w:jc w:val="both"/>
        <w:rPr>
          <w:rFonts w:eastAsia="Arial" w:cs="Arial"/>
          <w:b/>
          <w:bCs/>
          <w:sz w:val="24"/>
          <w:szCs w:val="24"/>
        </w:rPr>
      </w:pPr>
      <w:r>
        <w:rPr>
          <w:rFonts w:eastAsia="Arial" w:cs="Arial"/>
          <w:b/>
          <w:bCs/>
          <w:sz w:val="24"/>
          <w:szCs w:val="24"/>
        </w:rPr>
        <w:t xml:space="preserve">9.1.1 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sz w:val="24"/>
          <w:szCs w:val="24"/>
        </w:rPr>
        <w:t>justificativa</w:t>
      </w:r>
      <w:r w:rsidR="00885B0F">
        <w:rPr>
          <w:rFonts w:eastAsia="Arial" w:cs="Arial"/>
          <w:b/>
          <w:bCs/>
          <w:sz w:val="24"/>
          <w:szCs w:val="24"/>
        </w:rPr>
        <w:t xml:space="preserve"> </w:t>
      </w:r>
      <w:r>
        <w:rPr>
          <w:rFonts w:eastAsia="Arial" w:cs="Arial"/>
          <w:b/>
          <w:bCs/>
          <w:sz w:val="24"/>
          <w:szCs w:val="24"/>
        </w:rPr>
        <w:t>valores</w:t>
      </w:r>
      <w:proofErr w:type="gramEnd"/>
      <w:r>
        <w:rPr>
          <w:rFonts w:eastAsia="Arial" w:cs="Arial"/>
          <w:b/>
          <w:bCs/>
          <w:sz w:val="24"/>
          <w:szCs w:val="24"/>
        </w:rPr>
        <w:t xml:space="preserve"> irrisórios ou erro material.</w:t>
      </w:r>
    </w:p>
    <w:p w:rsidR="00A11032" w:rsidRDefault="00EE68D3">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A11032" w:rsidRDefault="00EE68D3">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536C22" w:rsidRDefault="00EE68D3" w:rsidP="00536C22">
      <w:pPr>
        <w:pStyle w:val="Standarduser"/>
        <w:spacing w:before="100" w:line="276" w:lineRule="auto"/>
        <w:jc w:val="both"/>
        <w:rPr>
          <w:rFonts w:ascii="Arial" w:hAnsi="Arial" w:cs="Arial"/>
          <w:bCs/>
          <w:sz w:val="22"/>
          <w:szCs w:val="22"/>
        </w:rPr>
      </w:pPr>
      <w:r>
        <w:rPr>
          <w:sz w:val="24"/>
          <w:szCs w:val="24"/>
        </w:rPr>
        <w:t xml:space="preserve">9.4 </w:t>
      </w:r>
      <w:r>
        <w:rPr>
          <w:rFonts w:cs="Trebuchet MS"/>
          <w:b/>
          <w:bCs/>
          <w:sz w:val="24"/>
          <w:szCs w:val="24"/>
        </w:rPr>
        <w:t>Os limites máximos aceitáveis para a contratação serão conforme a tabela abaixo:</w:t>
      </w:r>
      <w:r w:rsidR="00536C22" w:rsidRPr="00536C22">
        <w:rPr>
          <w:rFonts w:ascii="Arial" w:hAnsi="Arial" w:cs="Arial"/>
          <w:bCs/>
          <w:sz w:val="22"/>
          <w:szCs w:val="22"/>
        </w:rPr>
        <w:t xml:space="preserve"> </w:t>
      </w:r>
    </w:p>
    <w:p w:rsidR="005265D9" w:rsidRDefault="005265D9"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p w:rsidR="005A5F5D" w:rsidRDefault="005A5F5D" w:rsidP="00536C22">
      <w:pPr>
        <w:pStyle w:val="Standarduser"/>
        <w:spacing w:before="100" w:line="276" w:lineRule="auto"/>
        <w:jc w:val="both"/>
        <w:rPr>
          <w:rFonts w:ascii="Arial" w:hAnsi="Arial" w:cs="Arial"/>
          <w:bCs/>
          <w:sz w:val="22"/>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536C22" w:rsidRPr="0093207A" w:rsidTr="0093207A">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 anual</w:t>
            </w:r>
          </w:p>
        </w:tc>
      </w:tr>
      <w:tr w:rsidR="00536C22" w:rsidRPr="0093207A" w:rsidTr="0093207A">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76CAC">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Fonts w:ascii="Times New Roman" w:hAnsi="Times New Roman" w:cs="Times New Roman"/>
                <w:sz w:val="18"/>
                <w:szCs w:val="18"/>
              </w:rPr>
              <w:t>R$ 297,86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R$ 446.790,00</w:t>
            </w:r>
          </w:p>
        </w:tc>
      </w:tr>
      <w:tr w:rsidR="00536C22" w:rsidRPr="0093207A" w:rsidTr="0093207A">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536C22"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R$ 821,26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R$ 1.231.890,00</w:t>
            </w:r>
          </w:p>
        </w:tc>
      </w:tr>
      <w:tr w:rsidR="00536C22" w:rsidRPr="0093207A" w:rsidTr="0093207A">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536C22"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R$ 99,00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R$ 148.500,00</w:t>
            </w:r>
          </w:p>
        </w:tc>
      </w:tr>
      <w:tr w:rsidR="00536C22" w:rsidRPr="0093207A" w:rsidTr="0093207A">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R$ 1.047,15</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R$ 656.563,05</w:t>
            </w:r>
          </w:p>
        </w:tc>
      </w:tr>
      <w:tr w:rsidR="00536C22" w:rsidRPr="0093207A" w:rsidTr="0093207A">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536C22" w:rsidRPr="0093207A">
              <w:rPr>
                <w:rStyle w:val="StrongEmphasis"/>
                <w:rFonts w:ascii="Times New Roman" w:hAnsi="Times New Roman" w:cs="Times New Roman"/>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R$ 1.919,80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R$ 287.970,00</w:t>
            </w:r>
          </w:p>
        </w:tc>
      </w:tr>
      <w:tr w:rsidR="00536C22" w:rsidRPr="0093207A" w:rsidTr="0093207A">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R$ 523,56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R$ 328.272,12</w:t>
            </w:r>
          </w:p>
        </w:tc>
      </w:tr>
      <w:tr w:rsidR="00536C22" w:rsidRPr="0093207A" w:rsidTr="0093207A">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A135B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R$ 279,15</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R$ 175.027,05</w:t>
            </w:r>
          </w:p>
        </w:tc>
      </w:tr>
      <w:tr w:rsidR="00536C22" w:rsidRPr="0093207A" w:rsidTr="0093207A">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R$ 229,39</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R$ 11.010,72</w:t>
            </w:r>
          </w:p>
        </w:tc>
      </w:tr>
      <w:tr w:rsidR="00536C22" w:rsidRPr="0093207A" w:rsidTr="0093207A">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R$ 499,72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R$ 83.952,96</w:t>
            </w:r>
          </w:p>
        </w:tc>
      </w:tr>
      <w:tr w:rsidR="00536C22" w:rsidRPr="0093207A" w:rsidTr="0093207A">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b/>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r w:rsidRPr="0093207A">
              <w:rPr>
                <w:rFonts w:ascii="Times New Roman" w:hAnsi="Times New Roman" w:cs="Times New Roman"/>
                <w:sz w:val="18"/>
                <w:szCs w:val="18"/>
              </w:rPr>
              <w:t>R$ 944,58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R$ 45.339,84</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R$ 2.056,78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R$ 345.539,04</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F24E9E">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R$ 2.822,60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R$ 135.484,80</w:t>
            </w:r>
          </w:p>
        </w:tc>
      </w:tr>
      <w:tr w:rsidR="0093207A"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F24E9E" w:rsidP="0093207A">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R$ 43.212,97</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R$ 2.074.222,56</w:t>
            </w:r>
          </w:p>
        </w:tc>
      </w:tr>
      <w:tr w:rsidR="0093207A" w:rsidRPr="0093207A" w:rsidTr="00CE7FCD">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93207A">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CE7FCD">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5.970.562,14</w:t>
            </w:r>
          </w:p>
        </w:tc>
      </w:tr>
      <w:tr w:rsidR="00536C22" w:rsidRPr="0093207A" w:rsidTr="0093207A">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536C22" w:rsidRPr="0093207A" w:rsidTr="0093207A">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R$ 298,91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R$ 286.953,60</w:t>
            </w:r>
          </w:p>
        </w:tc>
      </w:tr>
      <w:tr w:rsidR="00CE7FCD" w:rsidRPr="0093207A" w:rsidTr="00CE7FCD">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sz w:val="18"/>
                <w:szCs w:val="18"/>
              </w:rPr>
            </w:pPr>
            <w:r>
              <w:rPr>
                <w:rStyle w:val="Forte"/>
                <w:rFonts w:ascii="Times New Roman" w:hAnsi="Times New Roman" w:cs="Times New Roman"/>
                <w:color w:val="000000"/>
                <w:sz w:val="24"/>
                <w:szCs w:val="24"/>
              </w:rPr>
              <w:t xml:space="preserve">R$ </w:t>
            </w:r>
            <w:r w:rsidRPr="00CE7FCD">
              <w:rPr>
                <w:rStyle w:val="Forte"/>
                <w:rFonts w:ascii="Times New Roman" w:hAnsi="Times New Roman" w:cs="Times New Roman"/>
                <w:color w:val="000000"/>
                <w:sz w:val="24"/>
                <w:szCs w:val="24"/>
              </w:rPr>
              <w:t>6.257.515,74 </w:t>
            </w:r>
          </w:p>
        </w:tc>
      </w:tr>
    </w:tbl>
    <w:p w:rsidR="00A11032" w:rsidRDefault="005D64A7" w:rsidP="00536C22">
      <w:pPr>
        <w:pStyle w:val="Standard"/>
        <w:spacing w:line="360" w:lineRule="auto"/>
        <w:ind w:firstLine="1417"/>
        <w:jc w:val="both"/>
        <w:rPr>
          <w:sz w:val="24"/>
          <w:szCs w:val="24"/>
        </w:rPr>
      </w:pPr>
      <w:r>
        <w:rPr>
          <w:sz w:val="24"/>
          <w:szCs w:val="24"/>
        </w:rPr>
        <w:t xml:space="preserve"> </w:t>
      </w:r>
    </w:p>
    <w:p w:rsidR="00A11032" w:rsidRDefault="00EE68D3">
      <w:pPr>
        <w:pStyle w:val="Standard"/>
        <w:spacing w:line="360" w:lineRule="auto"/>
        <w:ind w:firstLine="1417"/>
        <w:jc w:val="both"/>
        <w:rPr>
          <w:sz w:val="24"/>
          <w:szCs w:val="24"/>
        </w:rPr>
      </w:pPr>
      <w:r>
        <w:rPr>
          <w:sz w:val="24"/>
          <w:szCs w:val="24"/>
        </w:rPr>
        <w:lastRenderedPageBreak/>
        <w:t>9.5 Será verificada a conformidade das propostas apresentadas com os requisitos estabelecidos neste instrumento convocatório, sendo desclassificadas as que estiverem em desacordo.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11032" w:rsidRDefault="00EE68D3">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A11032" w:rsidRDefault="00EE68D3">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A11032" w:rsidRDefault="00EE68D3">
      <w:pPr>
        <w:pStyle w:val="Textbody"/>
        <w:spacing w:after="0" w:line="360" w:lineRule="auto"/>
        <w:ind w:firstLine="1417"/>
        <w:jc w:val="both"/>
      </w:pPr>
      <w:r>
        <w:rPr>
          <w:rFonts w:ascii="Times New Roman" w:hAnsi="Times New Roman"/>
          <w:sz w:val="24"/>
          <w:szCs w:val="24"/>
        </w:rPr>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A11032" w:rsidRDefault="00EE68D3">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rsidR="00A11032" w:rsidRDefault="00EE68D3">
      <w:pPr>
        <w:pStyle w:val="Standard"/>
        <w:spacing w:line="360" w:lineRule="auto"/>
        <w:ind w:firstLine="1417"/>
        <w:jc w:val="both"/>
        <w:rPr>
          <w:rFonts w:eastAsia="Times New Roman" w:cs="Times New Roman"/>
          <w:color w:val="000000"/>
          <w:sz w:val="24"/>
          <w:szCs w:val="24"/>
          <w:lang w:eastAsia="pt-BR"/>
        </w:rPr>
      </w:pPr>
      <w:proofErr w:type="gramStart"/>
      <w:r>
        <w:rPr>
          <w:rFonts w:eastAsia="Times New Roman" w:cs="Times New Roman"/>
          <w:color w:val="000000"/>
          <w:sz w:val="24"/>
          <w:szCs w:val="24"/>
          <w:lang w:eastAsia="pt-BR"/>
        </w:rPr>
        <w:lastRenderedPageBreak/>
        <w:t>9.13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rsidR="00A11032" w:rsidRDefault="00EE68D3">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A11032" w:rsidRDefault="00A11032">
      <w:pPr>
        <w:pStyle w:val="Standard"/>
        <w:spacing w:line="360" w:lineRule="auto"/>
        <w:ind w:firstLine="1417"/>
        <w:jc w:val="both"/>
        <w:rPr>
          <w:b/>
          <w:bCs/>
          <w:color w:val="FF0000"/>
          <w:sz w:val="24"/>
          <w:szCs w:val="24"/>
        </w:rPr>
      </w:pP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A11032" w:rsidRDefault="00A11032">
      <w:pPr>
        <w:pStyle w:val="Standard"/>
        <w:spacing w:line="360" w:lineRule="auto"/>
        <w:ind w:firstLine="1417"/>
        <w:jc w:val="both"/>
        <w:rPr>
          <w:rFonts w:eastAsia="CourierNewPSMT" w:cs="Trebuchet MS"/>
          <w:b/>
          <w:bCs/>
          <w:sz w:val="24"/>
          <w:szCs w:val="24"/>
        </w:rPr>
      </w:pP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PREGÃO ELETRÔNICO Nº </w:t>
      </w:r>
      <w:r w:rsidR="005D64A7">
        <w:rPr>
          <w:rFonts w:eastAsia="CourierNewPSMT" w:cs="Trebuchet MS"/>
          <w:b/>
          <w:bCs/>
          <w:sz w:val="24"/>
          <w:szCs w:val="24"/>
        </w:rPr>
        <w:t>1</w:t>
      </w:r>
      <w:r w:rsidR="00E06CD2">
        <w:rPr>
          <w:rFonts w:eastAsia="CourierNewPSMT" w:cs="Trebuchet MS"/>
          <w:b/>
          <w:bCs/>
          <w:sz w:val="24"/>
          <w:szCs w:val="24"/>
        </w:rPr>
        <w:t>7</w:t>
      </w:r>
      <w:r>
        <w:rPr>
          <w:rFonts w:eastAsia="CourierNewPSMT" w:cs="Trebuchet MS"/>
          <w:b/>
          <w:bCs/>
          <w:sz w:val="24"/>
          <w:szCs w:val="24"/>
        </w:rPr>
        <w:t>/2019</w:t>
      </w:r>
    </w:p>
    <w:p w:rsidR="00A11032" w:rsidRDefault="00EE68D3">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E06CD2" w:rsidRPr="00E06CD2">
        <w:rPr>
          <w:rFonts w:cs="Times New Roman"/>
          <w:b/>
          <w:sz w:val="24"/>
          <w:szCs w:val="24"/>
        </w:rPr>
        <w:t>19.00.6300.0002315/2018-64</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A11032" w:rsidRDefault="00EE68D3">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A11032" w:rsidRDefault="00EE68D3">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4" w:history="1">
        <w:r>
          <w:rPr>
            <w:rStyle w:val="Internetlink"/>
            <w:rFonts w:cs="Trebuchet MS"/>
            <w:sz w:val="24"/>
            <w:szCs w:val="24"/>
          </w:rPr>
          <w:t>http://www.portaldatransparencia.gov.br/ceis/</w:t>
        </w:r>
      </w:hyperlink>
      <w:r>
        <w:rPr>
          <w:rFonts w:cs="Trebuchet MS"/>
          <w:color w:val="000000"/>
          <w:sz w:val="24"/>
          <w:szCs w:val="24"/>
        </w:rPr>
        <w:t>);</w:t>
      </w:r>
    </w:p>
    <w:p w:rsidR="00A11032" w:rsidRDefault="00EE68D3">
      <w:pPr>
        <w:pStyle w:val="Standard"/>
        <w:numPr>
          <w:ilvl w:val="4"/>
          <w:numId w:val="120"/>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5" w:history="1">
        <w:r>
          <w:rPr>
            <w:rStyle w:val="Internetlink"/>
            <w:rFonts w:cs="Trebuchet MS"/>
            <w:sz w:val="24"/>
            <w:szCs w:val="24"/>
          </w:rPr>
          <w:t>http://www.cnj.jus.br/improbidade_adm/consultar_requerido.php</w:t>
        </w:r>
      </w:hyperlink>
      <w:r>
        <w:rPr>
          <w:rFonts w:cs="Trebuchet MS"/>
          <w:color w:val="000000"/>
          <w:sz w:val="24"/>
          <w:szCs w:val="24"/>
        </w:rPr>
        <w:t>);</w:t>
      </w:r>
    </w:p>
    <w:p w:rsidR="00A11032" w:rsidRDefault="00EE68D3">
      <w:pPr>
        <w:pStyle w:val="Standard"/>
        <w:numPr>
          <w:ilvl w:val="4"/>
          <w:numId w:val="121"/>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6" w:history="1">
        <w:r>
          <w:rPr>
            <w:rStyle w:val="Internetlink"/>
            <w:rFonts w:cs="Trebuchet MS"/>
            <w:sz w:val="24"/>
            <w:szCs w:val="24"/>
          </w:rPr>
          <w:t>http://www.tst.jus.br/certidao</w:t>
        </w:r>
      </w:hyperlink>
      <w:r>
        <w:rPr>
          <w:rFonts w:cs="Trebuchet MS"/>
          <w:color w:val="000000"/>
          <w:sz w:val="24"/>
          <w:szCs w:val="24"/>
        </w:rPr>
        <w:t>).</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10.3 Para fins de habilitação, a licitante deverá apresentar, ainda, a seguinte documentação complementar:</w:t>
      </w:r>
    </w:p>
    <w:p w:rsidR="00A11032" w:rsidRDefault="00EE68D3">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A11032" w:rsidRDefault="00EE68D3">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A11032" w:rsidRDefault="00EE68D3">
      <w:pPr>
        <w:pStyle w:val="Standard"/>
        <w:tabs>
          <w:tab w:val="left" w:pos="1425"/>
        </w:tabs>
        <w:spacing w:line="360" w:lineRule="auto"/>
        <w:ind w:firstLine="1417"/>
        <w:jc w:val="both"/>
      </w:pPr>
      <w:r>
        <w:rPr>
          <w:rFonts w:eastAsia="CourierNewPSMT" w:cs="Trebuchet MS"/>
          <w:sz w:val="24"/>
          <w:szCs w:val="24"/>
        </w:rPr>
        <w:tab/>
        <w:t xml:space="preserve">10.3.3 Declaração de ciência e concordância com as condições estabelecidas neste Edital e seus Anexos, bem assim de cumprimento pleno dos requisitos </w:t>
      </w:r>
      <w:proofErr w:type="spellStart"/>
      <w:r>
        <w:rPr>
          <w:rFonts w:eastAsia="CourierNewPSMT" w:cs="Trebuchet MS"/>
          <w:sz w:val="24"/>
          <w:szCs w:val="24"/>
        </w:rPr>
        <w:t>habilitatórios</w:t>
      </w:r>
      <w:proofErr w:type="spellEnd"/>
      <w:r>
        <w:rPr>
          <w:rFonts w:eastAsia="CourierNewPSMT" w:cs="Trebuchet MS"/>
          <w:sz w:val="24"/>
          <w:szCs w:val="24"/>
        </w:rPr>
        <w:t xml:space="preserve">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A11032" w:rsidRDefault="00EE68D3">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11032" w:rsidRDefault="00EE68D3">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sz w:val="24"/>
          <w:szCs w:val="24"/>
        </w:rPr>
        <w:t>arts</w:t>
      </w:r>
      <w:proofErr w:type="spellEnd"/>
      <w:r>
        <w:rPr>
          <w:rFonts w:eastAsia="Times New Roman" w:cs="Times New Roman"/>
          <w:color w:val="000000"/>
          <w:sz w:val="24"/>
          <w:szCs w:val="24"/>
        </w:rPr>
        <w:t xml:space="preserve">. 42 a 49 da referida Lei Complementar </w:t>
      </w:r>
      <w:r>
        <w:rPr>
          <w:rFonts w:eastAsia="Times New Roman" w:cs="Times New Roman"/>
          <w:b/>
          <w:bCs/>
          <w:color w:val="000000"/>
          <w:sz w:val="24"/>
          <w:szCs w:val="24"/>
        </w:rPr>
        <w:t xml:space="preserve">(em campo próprio do sistema </w:t>
      </w:r>
      <w:proofErr w:type="spellStart"/>
      <w:r>
        <w:rPr>
          <w:rFonts w:eastAsia="Times New Roman" w:cs="Times New Roman"/>
          <w:b/>
          <w:bCs/>
          <w:color w:val="000000"/>
          <w:sz w:val="24"/>
          <w:szCs w:val="24"/>
        </w:rPr>
        <w:t>Comprasnet</w:t>
      </w:r>
      <w:proofErr w:type="spellEnd"/>
      <w:r>
        <w:rPr>
          <w:rFonts w:eastAsia="Times New Roman" w:cs="Times New Roman"/>
          <w:b/>
          <w:bCs/>
          <w:color w:val="000000"/>
          <w:sz w:val="24"/>
          <w:szCs w:val="24"/>
        </w:rPr>
        <w:t>)</w:t>
      </w:r>
      <w:r>
        <w:rPr>
          <w:rFonts w:eastAsia="Times New Roman" w:cs="Times New Roman"/>
          <w:color w:val="000000"/>
          <w:sz w:val="24"/>
          <w:szCs w:val="24"/>
        </w:rPr>
        <w:t>.</w:t>
      </w:r>
    </w:p>
    <w:p w:rsidR="00FA151D" w:rsidRDefault="00EE68D3" w:rsidP="00FA151D">
      <w:pPr>
        <w:pStyle w:val="Standard"/>
        <w:spacing w:line="360" w:lineRule="auto"/>
        <w:ind w:firstLine="1417"/>
        <w:jc w:val="both"/>
        <w:rPr>
          <w:rFonts w:cs="Trebuchet MS"/>
          <w:sz w:val="24"/>
          <w:szCs w:val="24"/>
        </w:rPr>
      </w:pPr>
      <w:r>
        <w:rPr>
          <w:rFonts w:cs="Trebuchet MS"/>
          <w:sz w:val="24"/>
          <w:szCs w:val="24"/>
        </w:rPr>
        <w:t>10.3.</w:t>
      </w:r>
      <w:r w:rsidR="008B672A">
        <w:rPr>
          <w:rFonts w:cs="Trebuchet MS"/>
          <w:sz w:val="24"/>
          <w:szCs w:val="24"/>
        </w:rPr>
        <w:t>6</w:t>
      </w:r>
      <w:r>
        <w:rPr>
          <w:rFonts w:cs="Trebuchet MS"/>
          <w:sz w:val="24"/>
          <w:szCs w:val="24"/>
        </w:rPr>
        <w:t xml:space="preserve"> Declaração de regularidade (anexo III do edital);</w:t>
      </w:r>
    </w:p>
    <w:p w:rsidR="00FA151D" w:rsidRPr="00FA151D" w:rsidRDefault="00FA151D" w:rsidP="00FA151D">
      <w:pPr>
        <w:pStyle w:val="Standard"/>
        <w:spacing w:line="360" w:lineRule="auto"/>
        <w:ind w:firstLine="1417"/>
        <w:jc w:val="both"/>
        <w:rPr>
          <w:sz w:val="24"/>
          <w:szCs w:val="24"/>
        </w:rPr>
      </w:pPr>
      <w:r>
        <w:rPr>
          <w:rFonts w:cs="Trebuchet MS"/>
          <w:sz w:val="24"/>
          <w:szCs w:val="24"/>
        </w:rPr>
        <w:t xml:space="preserve">10.3.7 </w:t>
      </w:r>
      <w:r w:rsidRPr="00FA151D">
        <w:rPr>
          <w:rFonts w:eastAsia="Times New Roman" w:cs="Arial"/>
          <w:sz w:val="24"/>
          <w:szCs w:val="24"/>
        </w:rPr>
        <w:t xml:space="preserve">A licitante </w:t>
      </w:r>
      <w:r>
        <w:rPr>
          <w:sz w:val="24"/>
          <w:szCs w:val="24"/>
        </w:rPr>
        <w:t>d</w:t>
      </w:r>
      <w:r w:rsidRPr="00FA151D">
        <w:rPr>
          <w:sz w:val="24"/>
          <w:szCs w:val="24"/>
        </w:rPr>
        <w:t xml:space="preserve">everá apresentar declaração ou atestado de comprovação de capacidade técnica em seu nome, expedido por pessoa jurídica de direito público ou privado de acordo com as especificações contidas </w:t>
      </w:r>
      <w:r>
        <w:rPr>
          <w:sz w:val="24"/>
          <w:szCs w:val="24"/>
        </w:rPr>
        <w:t>no item 13 do Termo de Referência</w:t>
      </w:r>
      <w:r w:rsidR="00726CD7">
        <w:rPr>
          <w:sz w:val="24"/>
          <w:szCs w:val="24"/>
        </w:rPr>
        <w:t xml:space="preserve"> – Anexo I do Edital.</w:t>
      </w:r>
    </w:p>
    <w:p w:rsidR="00A11032" w:rsidRDefault="008B672A" w:rsidP="00CE7FCD">
      <w:pPr>
        <w:pStyle w:val="Standard"/>
        <w:tabs>
          <w:tab w:val="left" w:pos="-255"/>
          <w:tab w:val="left" w:pos="0"/>
          <w:tab w:val="left" w:pos="135"/>
        </w:tabs>
        <w:spacing w:line="360" w:lineRule="auto"/>
        <w:jc w:val="both"/>
        <w:rPr>
          <w:rFonts w:eastAsia="CourierNewPSMT" w:cs="Trebuchet MS"/>
          <w:sz w:val="24"/>
          <w:szCs w:val="24"/>
        </w:rPr>
      </w:pPr>
      <w:r>
        <w:rPr>
          <w:rFonts w:cs="Trebuchet MS"/>
          <w:sz w:val="24"/>
          <w:szCs w:val="24"/>
        </w:rPr>
        <w:tab/>
      </w:r>
      <w:r>
        <w:rPr>
          <w:rFonts w:cs="Trebuchet MS"/>
          <w:sz w:val="24"/>
          <w:szCs w:val="24"/>
        </w:rPr>
        <w:tab/>
      </w:r>
      <w:r>
        <w:rPr>
          <w:rFonts w:cs="Trebuchet MS"/>
          <w:sz w:val="24"/>
          <w:szCs w:val="24"/>
        </w:rPr>
        <w:tab/>
      </w:r>
      <w:r w:rsidR="00EE68D3">
        <w:rPr>
          <w:rFonts w:eastAsia="CourierNewPSMT" w:cs="Trebuchet MS"/>
          <w:sz w:val="24"/>
          <w:szCs w:val="24"/>
        </w:rPr>
        <w:t>10.4 A verificação em sítios oficiais de órgão e entidades emissores de certidões constitui meio legal de prova.</w:t>
      </w:r>
    </w:p>
    <w:p w:rsidR="00A11032" w:rsidRDefault="00EE68D3">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7" w:history="1">
        <w:r w:rsidR="008B672A">
          <w:rPr>
            <w:rStyle w:val="Internetlink"/>
            <w:rFonts w:cs="Trebuchet MS"/>
            <w:sz w:val="24"/>
            <w:szCs w:val="24"/>
          </w:rPr>
          <w:t>licitacoes</w:t>
        </w:r>
        <w:r>
          <w:rPr>
            <w:rStyle w:val="Internetlink"/>
            <w:rFonts w:cs="Trebuchet MS"/>
            <w:sz w:val="24"/>
            <w:szCs w:val="24"/>
          </w:rPr>
          <w:t>@cnmp.mp.br</w:t>
        </w:r>
      </w:hyperlink>
      <w:r>
        <w:rPr>
          <w:rFonts w:cs="Trebuchet MS"/>
          <w:sz w:val="24"/>
          <w:szCs w:val="24"/>
        </w:rPr>
        <w:t xml:space="preserve"> a partir de sua convocação no sistema de Pregão Eletrônico, no prazo de 1 </w:t>
      </w:r>
      <w:r>
        <w:rPr>
          <w:rFonts w:cs="Trebuchet MS"/>
          <w:sz w:val="24"/>
          <w:szCs w:val="24"/>
        </w:rPr>
        <w:lastRenderedPageBreak/>
        <w:t>(uma) hora contada da solicitação do Pregoeiro, e apresentados no original ou por cópia autenticada em 72 (setenta e duas) horas após o encerramento da sessão pública.</w:t>
      </w:r>
    </w:p>
    <w:p w:rsidR="00A11032" w:rsidRDefault="00EE68D3">
      <w:pPr>
        <w:pStyle w:val="Standard"/>
        <w:spacing w:line="360" w:lineRule="auto"/>
        <w:ind w:firstLine="1417"/>
        <w:jc w:val="both"/>
        <w:rPr>
          <w:rFonts w:cs="Trebuchet MS"/>
          <w:sz w:val="24"/>
          <w:szCs w:val="24"/>
        </w:rPr>
      </w:pPr>
      <w:proofErr w:type="gramStart"/>
      <w:r>
        <w:rPr>
          <w:rFonts w:cs="Trebuchet MS"/>
          <w:sz w:val="24"/>
          <w:szCs w:val="24"/>
        </w:rPr>
        <w:t>10.5.1 Comprovada</w:t>
      </w:r>
      <w:proofErr w:type="gramEnd"/>
      <w:r>
        <w:rPr>
          <w:rFonts w:cs="Trebuchet MS"/>
          <w:sz w:val="24"/>
          <w:szCs w:val="24"/>
        </w:rPr>
        <w:t xml:space="preserve"> a impossibilidade de envio por meio da referida ferramenta, a critério do Pregoeiro, poderá ser utilizada outra forma de envio.</w:t>
      </w:r>
    </w:p>
    <w:p w:rsidR="00A11032" w:rsidRDefault="00EE68D3">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A11032" w:rsidRDefault="00EE68D3">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A11032" w:rsidRDefault="00EE68D3">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A11032" w:rsidRDefault="00EE68D3">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A11032" w:rsidRDefault="00EE68D3">
      <w:pPr>
        <w:pStyle w:val="Standard"/>
        <w:spacing w:line="360" w:lineRule="auto"/>
        <w:ind w:firstLine="1417"/>
        <w:jc w:val="both"/>
      </w:pPr>
      <w:proofErr w:type="gramStart"/>
      <w:r>
        <w:rPr>
          <w:rFonts w:cs="Trebuchet MS"/>
          <w:sz w:val="24"/>
          <w:szCs w:val="24"/>
        </w:rPr>
        <w:t xml:space="preserve">10.9.1 </w:t>
      </w:r>
      <w:r>
        <w:rPr>
          <w:rFonts w:cs="Trebuchet MS"/>
          <w:b/>
          <w:bCs/>
          <w:sz w:val="24"/>
          <w:szCs w:val="24"/>
        </w:rPr>
        <w:t>Os</w:t>
      </w:r>
      <w:proofErr w:type="gramEnd"/>
      <w:r>
        <w:rPr>
          <w:rFonts w:cs="Trebuchet MS"/>
          <w:b/>
          <w:bCs/>
          <w:sz w:val="24"/>
          <w:szCs w:val="24"/>
        </w:rPr>
        <w:t xml:space="preserve">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A11032" w:rsidRDefault="00EE68D3">
      <w:pPr>
        <w:pStyle w:val="Standard"/>
        <w:tabs>
          <w:tab w:val="left" w:pos="1425"/>
        </w:tabs>
        <w:spacing w:line="360" w:lineRule="auto"/>
        <w:ind w:firstLine="1417"/>
        <w:jc w:val="both"/>
        <w:rPr>
          <w:rFonts w:cs="Trebuchet MS"/>
          <w:sz w:val="24"/>
          <w:szCs w:val="24"/>
        </w:rPr>
      </w:pPr>
      <w:r>
        <w:rPr>
          <w:rFonts w:cs="Trebuchet MS"/>
          <w:sz w:val="24"/>
          <w:szCs w:val="24"/>
        </w:rPr>
        <w:t>10.10 Para as Microempresas e Empresas de Pequeno Porte, a comprovação da regularidade fiscal observará a disciplina estabelecida nos artigos 42 e 43 da Lei Complementar nº 123, de 14/12/2006, regulamentados pelo art. 4º do Decreto nº 8538/2015.</w:t>
      </w:r>
    </w:p>
    <w:p w:rsidR="00A11032" w:rsidRDefault="00EE68D3">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11032" w:rsidRDefault="00EE68D3">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A11032" w:rsidRDefault="00EE68D3">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A11032" w:rsidRDefault="00EE68D3">
      <w:pPr>
        <w:pStyle w:val="Standard"/>
        <w:numPr>
          <w:ilvl w:val="1"/>
          <w:numId w:val="122"/>
        </w:numPr>
        <w:tabs>
          <w:tab w:val="left" w:pos="15"/>
        </w:tabs>
        <w:spacing w:line="360" w:lineRule="auto"/>
        <w:ind w:left="0" w:firstLine="1417"/>
        <w:jc w:val="both"/>
        <w:rPr>
          <w:rFonts w:cs="Trebuchet MS"/>
          <w:b/>
          <w:bCs/>
          <w:sz w:val="24"/>
          <w:szCs w:val="24"/>
        </w:rPr>
      </w:pPr>
      <w:r>
        <w:rPr>
          <w:rFonts w:cs="Trebuchet MS"/>
          <w:b/>
          <w:bCs/>
          <w:sz w:val="24"/>
          <w:szCs w:val="24"/>
        </w:rPr>
        <w:lastRenderedPageBreak/>
        <w:t>Para habilitação no presente pregão serão exigidos os seguintes documentos:</w:t>
      </w:r>
    </w:p>
    <w:p w:rsidR="00A11032" w:rsidRDefault="00EE68D3">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A11032" w:rsidRDefault="00EE68D3">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w:t>
      </w:r>
      <w:proofErr w:type="gramStart"/>
      <w:r>
        <w:rPr>
          <w:rFonts w:cs="Trebuchet MS"/>
          <w:sz w:val="24"/>
          <w:szCs w:val="24"/>
        </w:rPr>
        <w:t>Estadual e Municipal</w:t>
      </w:r>
      <w:proofErr w:type="gramEnd"/>
      <w:r>
        <w:rPr>
          <w:rFonts w:cs="Trebuchet MS"/>
          <w:sz w:val="24"/>
          <w:szCs w:val="24"/>
        </w:rPr>
        <w:t xml:space="preserve"> ou Distrital, conforme o domicílio ou sede da licitante, admitida a certidão positiva com efeito de negativa ou outra equivalente na forma da lei;</w:t>
      </w:r>
    </w:p>
    <w:p w:rsidR="00A11032" w:rsidRDefault="00EE68D3">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A11032" w:rsidRDefault="00EE68D3">
      <w:pPr>
        <w:pStyle w:val="Standard"/>
        <w:tabs>
          <w:tab w:val="left" w:pos="15"/>
        </w:tabs>
        <w:spacing w:line="360" w:lineRule="auto"/>
        <w:ind w:firstLine="1417"/>
        <w:jc w:val="both"/>
      </w:pPr>
      <w:r>
        <w:rPr>
          <w:rFonts w:cs="Trebuchet MS"/>
          <w:sz w:val="24"/>
          <w:szCs w:val="24"/>
        </w:rPr>
        <w:t xml:space="preserve">e) certidão de </w:t>
      </w:r>
      <w:r>
        <w:rPr>
          <w:rFonts w:cs="Trebuchet MS"/>
          <w:b/>
          <w:bCs/>
          <w:sz w:val="24"/>
          <w:szCs w:val="24"/>
        </w:rPr>
        <w:t>regularidade trabalhista</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10.14.1 Para as licitantes inscritas no Sistema de Cadastramento Unificado de Fornecedores – SICAF, a comprovação referida nas alíneas “a”, “b”, “c” e “d”, do item 10.14 poderá ser efetuada mediante consulta </w:t>
      </w:r>
      <w:proofErr w:type="spellStart"/>
      <w:r>
        <w:rPr>
          <w:rFonts w:cs="Trebuchet MS"/>
          <w:i/>
          <w:sz w:val="24"/>
          <w:szCs w:val="24"/>
        </w:rPr>
        <w:t>on</w:t>
      </w:r>
      <w:proofErr w:type="spellEnd"/>
      <w:r>
        <w:rPr>
          <w:rFonts w:cs="Trebuchet MS"/>
          <w:i/>
          <w:sz w:val="24"/>
          <w:szCs w:val="24"/>
        </w:rPr>
        <w:t xml:space="preserve"> </w:t>
      </w:r>
      <w:proofErr w:type="spellStart"/>
      <w:r>
        <w:rPr>
          <w:rFonts w:cs="Trebuchet MS"/>
          <w:i/>
          <w:sz w:val="24"/>
          <w:szCs w:val="24"/>
        </w:rPr>
        <w:t>line</w:t>
      </w:r>
      <w:proofErr w:type="spellEnd"/>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11032" w:rsidRDefault="00EE68D3">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11032" w:rsidRDefault="00EE68D3">
      <w:pPr>
        <w:pStyle w:val="Standard"/>
        <w:tabs>
          <w:tab w:val="left" w:pos="15"/>
        </w:tabs>
        <w:spacing w:line="360" w:lineRule="auto"/>
        <w:ind w:firstLine="1417"/>
        <w:jc w:val="both"/>
      </w:pPr>
      <w:r>
        <w:rPr>
          <w:rFonts w:eastAsia="Times New Roman" w:cs="Trebuchet MS"/>
          <w:color w:val="000000"/>
          <w:sz w:val="24"/>
          <w:szCs w:val="24"/>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A11032" w:rsidRDefault="00EE68D3" w:rsidP="008B672A">
      <w:pPr>
        <w:pStyle w:val="Standard"/>
        <w:spacing w:line="360" w:lineRule="auto"/>
        <w:ind w:firstLine="1417"/>
        <w:jc w:val="both"/>
        <w:rPr>
          <w:rFonts w:cs="Trebuchet MS"/>
          <w:b/>
          <w:bCs/>
          <w:color w:val="000000"/>
          <w:sz w:val="24"/>
          <w:szCs w:val="24"/>
        </w:rPr>
      </w:pPr>
      <w:r>
        <w:rPr>
          <w:rFonts w:cs="Trebuchet MS"/>
          <w:b/>
          <w:bCs/>
          <w:color w:val="000000"/>
          <w:sz w:val="24"/>
          <w:szCs w:val="24"/>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lastRenderedPageBreak/>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A11032" w:rsidRDefault="00EE68D3">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sidR="002801B5">
        <w:rPr>
          <w:sz w:val="24"/>
          <w:szCs w:val="24"/>
        </w:rPr>
        <w:tab/>
      </w: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11032" w:rsidRDefault="00EE68D3">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EE68D3">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A11032" w:rsidRDefault="00EE68D3">
      <w:pPr>
        <w:pStyle w:val="Standard"/>
        <w:spacing w:line="360" w:lineRule="auto"/>
        <w:ind w:firstLine="1417"/>
        <w:jc w:val="both"/>
        <w:rPr>
          <w:sz w:val="24"/>
          <w:szCs w:val="24"/>
        </w:rPr>
      </w:pPr>
      <w:r>
        <w:rPr>
          <w:sz w:val="24"/>
          <w:szCs w:val="24"/>
        </w:rPr>
        <w:t>b) tenham praticado atos ilícitos visando a frustrar os objetivos da licitação;</w:t>
      </w:r>
    </w:p>
    <w:p w:rsidR="00A11032" w:rsidRDefault="00EE68D3">
      <w:pPr>
        <w:pStyle w:val="Standard"/>
        <w:spacing w:line="360" w:lineRule="auto"/>
        <w:ind w:firstLine="1417"/>
        <w:jc w:val="both"/>
        <w:rPr>
          <w:sz w:val="24"/>
          <w:szCs w:val="24"/>
        </w:rPr>
      </w:pPr>
      <w:r>
        <w:rPr>
          <w:sz w:val="24"/>
          <w:szCs w:val="24"/>
        </w:rPr>
        <w:lastRenderedPageBreak/>
        <w:t>c) demonstrem não possuir idoneidade para contratar com a Administração em virtude de atos ilícitos praticados.</w:t>
      </w:r>
    </w:p>
    <w:p w:rsidR="00A11032" w:rsidRDefault="00EE68D3">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A11032" w:rsidRDefault="00EE68D3">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EE68D3">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A11032" w:rsidRDefault="00EE68D3">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12 – DOS RECURSOS ADMINISTRATIVOS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rFonts w:eastAsia="Arial" w:cs="Arial"/>
          <w:sz w:val="24"/>
          <w:szCs w:val="24"/>
          <w:lang w:eastAsia="pt-BR"/>
        </w:rPr>
      </w:pPr>
      <w:r>
        <w:rPr>
          <w:rFonts w:eastAsia="Arial" w:cs="Arial"/>
          <w:sz w:val="24"/>
          <w:szCs w:val="24"/>
          <w:lang w:eastAsia="pt-BR"/>
        </w:rPr>
        <w:t>12.1 Declarada a vencedora, qualquer licitante poderá manifestar, imediata e motivadamente, em campo próprio do sistema, a intenção de recorrer.</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lastRenderedPageBreak/>
        <w:t>12.5 Encerrada a sessão pública, a ata respectiva será disponibilizada imediatamente na internet para acesso livre de todos os licitantes e à sociedade.</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A11032" w:rsidRDefault="00EE68D3">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A11032" w:rsidRDefault="00EE68D3">
      <w:pPr>
        <w:pStyle w:val="Standard"/>
        <w:spacing w:line="360" w:lineRule="auto"/>
        <w:ind w:firstLine="1417"/>
        <w:jc w:val="both"/>
        <w:rPr>
          <w:sz w:val="24"/>
          <w:szCs w:val="24"/>
        </w:rPr>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A11032" w:rsidRDefault="00A11032">
      <w:pPr>
        <w:pStyle w:val="Textbodyindent"/>
        <w:spacing w:line="360" w:lineRule="auto"/>
        <w:ind w:left="0"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13– DO SERVIÇO E DA ASSINATURA DO CONTRATO</w:t>
      </w:r>
    </w:p>
    <w:p w:rsidR="008B672A" w:rsidRDefault="008B672A">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13.1 A vigência do contrato será de </w:t>
      </w:r>
      <w:r w:rsidR="00E06CD2">
        <w:rPr>
          <w:sz w:val="24"/>
          <w:szCs w:val="24"/>
        </w:rPr>
        <w:t>36</w:t>
      </w:r>
      <w:r>
        <w:rPr>
          <w:sz w:val="24"/>
          <w:szCs w:val="24"/>
        </w:rPr>
        <w:t xml:space="preserve"> (</w:t>
      </w:r>
      <w:r w:rsidR="00E06CD2">
        <w:rPr>
          <w:sz w:val="24"/>
          <w:szCs w:val="24"/>
        </w:rPr>
        <w:t>trinta e seis</w:t>
      </w:r>
      <w:r>
        <w:rPr>
          <w:sz w:val="24"/>
          <w:szCs w:val="24"/>
        </w:rPr>
        <w:t>) meses, a contar da data da assinatura</w:t>
      </w:r>
      <w:r w:rsidR="005746C2">
        <w:rPr>
          <w:sz w:val="24"/>
          <w:szCs w:val="24"/>
        </w:rPr>
        <w:t xml:space="preserve">, não podendo ser prorrogado. </w:t>
      </w:r>
    </w:p>
    <w:p w:rsidR="00CE7FCD" w:rsidRDefault="00CE7FCD">
      <w:pPr>
        <w:pStyle w:val="Standard"/>
        <w:spacing w:line="360" w:lineRule="auto"/>
        <w:ind w:firstLine="1417"/>
        <w:jc w:val="both"/>
        <w:rPr>
          <w:sz w:val="24"/>
          <w:szCs w:val="24"/>
        </w:rPr>
      </w:pPr>
      <w:r>
        <w:rPr>
          <w:sz w:val="24"/>
          <w:szCs w:val="24"/>
        </w:rPr>
        <w:t xml:space="preserve">13.2 Na assinatura do contrato será exigida </w:t>
      </w:r>
      <w:r w:rsidR="005746C2">
        <w:rPr>
          <w:sz w:val="24"/>
          <w:szCs w:val="24"/>
        </w:rPr>
        <w:t xml:space="preserve">a apresentação das declarações e certificações constantes no item 03 do </w:t>
      </w:r>
      <w:proofErr w:type="spellStart"/>
      <w:r w:rsidR="005746C2">
        <w:rPr>
          <w:sz w:val="24"/>
          <w:szCs w:val="24"/>
        </w:rPr>
        <w:t>Edial</w:t>
      </w:r>
      <w:proofErr w:type="spellEnd"/>
      <w:r w:rsidR="005746C2">
        <w:rPr>
          <w:sz w:val="24"/>
          <w:szCs w:val="24"/>
        </w:rPr>
        <w:t>.</w:t>
      </w:r>
    </w:p>
    <w:p w:rsidR="00CE7FCD" w:rsidRDefault="00CE7FCD">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13.</w:t>
      </w:r>
      <w:r w:rsidR="005746C2">
        <w:rPr>
          <w:sz w:val="24"/>
          <w:szCs w:val="24"/>
        </w:rPr>
        <w:t>3</w:t>
      </w:r>
      <w:r>
        <w:rPr>
          <w:sz w:val="24"/>
          <w:szCs w:val="24"/>
        </w:rPr>
        <w:t xml:space="preserve">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11032" w:rsidRDefault="00EE68D3">
      <w:pPr>
        <w:pStyle w:val="Standard"/>
        <w:spacing w:line="360" w:lineRule="auto"/>
        <w:ind w:firstLine="1417"/>
        <w:jc w:val="both"/>
      </w:pPr>
      <w:r>
        <w:rPr>
          <w:sz w:val="24"/>
          <w:szCs w:val="24"/>
        </w:rPr>
        <w:t>13.</w:t>
      </w:r>
      <w:r w:rsidR="005746C2">
        <w:rPr>
          <w:sz w:val="24"/>
          <w:szCs w:val="24"/>
        </w:rPr>
        <w:t>4</w:t>
      </w:r>
      <w:r>
        <w:rPr>
          <w:sz w:val="24"/>
          <w:szCs w:val="24"/>
        </w:rPr>
        <w:t xml:space="preserve">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11032" w:rsidRDefault="00EE68D3">
      <w:pPr>
        <w:pStyle w:val="Standard"/>
        <w:spacing w:line="360" w:lineRule="auto"/>
        <w:ind w:firstLine="1417"/>
        <w:jc w:val="both"/>
        <w:rPr>
          <w:sz w:val="24"/>
          <w:szCs w:val="24"/>
        </w:rPr>
      </w:pPr>
      <w:r>
        <w:rPr>
          <w:sz w:val="24"/>
          <w:szCs w:val="24"/>
        </w:rPr>
        <w:lastRenderedPageBreak/>
        <w:t>13.</w:t>
      </w:r>
      <w:r w:rsidR="005746C2">
        <w:rPr>
          <w:sz w:val="24"/>
          <w:szCs w:val="24"/>
        </w:rPr>
        <w:t>5</w:t>
      </w:r>
      <w:r>
        <w:rPr>
          <w:sz w:val="24"/>
          <w:szCs w:val="24"/>
        </w:rPr>
        <w:t xml:space="preserve">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6</w:t>
      </w:r>
      <w:r>
        <w:rPr>
          <w:sz w:val="24"/>
          <w:szCs w:val="24"/>
        </w:rPr>
        <w:t xml:space="preserve"> Na assinatura do contrato, será exigida a comprovação das condições de habilitação consignadas neste Edital, as quais deverão ser mantidas pela Contratada durante a vigência do contrato.</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7</w:t>
      </w:r>
      <w:r>
        <w:rPr>
          <w:sz w:val="24"/>
          <w:szCs w:val="24"/>
        </w:rPr>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8</w:t>
      </w:r>
      <w:r>
        <w:rPr>
          <w:sz w:val="24"/>
          <w:szCs w:val="24"/>
        </w:rPr>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14 – DA FISCALIZAÇÃO</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A11032" w:rsidRDefault="00EE68D3">
      <w:pPr>
        <w:pStyle w:val="Standard"/>
        <w:spacing w:line="360" w:lineRule="auto"/>
        <w:ind w:firstLine="1417"/>
        <w:jc w:val="both"/>
        <w:rPr>
          <w:sz w:val="24"/>
          <w:szCs w:val="24"/>
        </w:rPr>
      </w:pPr>
      <w:proofErr w:type="gramStart"/>
      <w:r>
        <w:rPr>
          <w:sz w:val="24"/>
          <w:szCs w:val="24"/>
        </w:rPr>
        <w:t>14.1.2 As</w:t>
      </w:r>
      <w:proofErr w:type="gramEnd"/>
      <w:r>
        <w:rPr>
          <w:sz w:val="24"/>
          <w:szCs w:val="24"/>
        </w:rPr>
        <w:t xml:space="preserve"> decisões e providências que ultrapassarem a competência do representante deverão ser solicitadas ao seu gestor, em tempo hábil para adoção das medidas convenientes.</w:t>
      </w:r>
    </w:p>
    <w:p w:rsidR="00A11032" w:rsidRDefault="00EE68D3">
      <w:pPr>
        <w:pStyle w:val="Standard"/>
        <w:spacing w:line="360" w:lineRule="auto"/>
        <w:ind w:firstLine="1417"/>
        <w:jc w:val="both"/>
        <w:rPr>
          <w:sz w:val="24"/>
          <w:szCs w:val="24"/>
        </w:rPr>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rsidR="00A11032" w:rsidRDefault="00EE68D3">
      <w:pPr>
        <w:pStyle w:val="Standard"/>
        <w:spacing w:line="360" w:lineRule="auto"/>
        <w:ind w:firstLine="1417"/>
        <w:jc w:val="both"/>
        <w:rPr>
          <w:sz w:val="24"/>
          <w:szCs w:val="24"/>
        </w:rPr>
      </w:pPr>
      <w:r>
        <w:rPr>
          <w:sz w:val="24"/>
          <w:szCs w:val="24"/>
        </w:rPr>
        <w:t>14.3 Nos termos da Lei nº 8.666/93 constituirá documento de autorização para a execução dos serviços o Contrato Assinado, acompanhado da Nota de Empenho.</w:t>
      </w:r>
    </w:p>
    <w:p w:rsidR="00A11032" w:rsidRDefault="00EE68D3">
      <w:pPr>
        <w:pStyle w:val="Standard"/>
        <w:spacing w:line="360" w:lineRule="auto"/>
        <w:ind w:firstLine="1417"/>
        <w:jc w:val="both"/>
        <w:rPr>
          <w:sz w:val="24"/>
          <w:szCs w:val="24"/>
        </w:rPr>
      </w:pPr>
      <w:r>
        <w:rPr>
          <w:sz w:val="24"/>
          <w:szCs w:val="24"/>
        </w:rPr>
        <w:lastRenderedPageBreak/>
        <w:t>14.4 O Conselho Nacional do Ministério Público, poderá rejeitar, no todo ou em parte, os serviços prestados, se em desacordo com o Contrato.</w:t>
      </w:r>
    </w:p>
    <w:p w:rsidR="00A11032" w:rsidRDefault="00EE68D3">
      <w:pPr>
        <w:pStyle w:val="Standard"/>
        <w:spacing w:line="360" w:lineRule="auto"/>
        <w:ind w:firstLine="1417"/>
        <w:jc w:val="both"/>
        <w:rPr>
          <w:sz w:val="24"/>
          <w:szCs w:val="24"/>
        </w:rPr>
      </w:pPr>
      <w:r>
        <w:rPr>
          <w:sz w:val="24"/>
          <w:szCs w:val="24"/>
        </w:rPr>
        <w:t>14.5 Quaisquer exigências da Fiscalização, inerentes ao Objeto do Contrato, deverão ser prontamente atendidas pela Adjudicatária, sem ônus para o CNMP.</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15 – DO LOCAL E DA EXECUÇÃO DOS SERVIÇOS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b/>
          <w:bCs/>
          <w:sz w:val="24"/>
          <w:szCs w:val="24"/>
        </w:rPr>
        <w:t>15.1 - Serão os constantes no Termo de Referência, Anexo I do Edital.</w:t>
      </w:r>
      <w:r>
        <w:rPr>
          <w:sz w:val="24"/>
          <w:szCs w:val="24"/>
        </w:rPr>
        <w:tab/>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16 – DAS OBRIGAÇÕES DO CNMP</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17 – DAS OBRIGAÇÕES DO LICITANTE VENCEDOR</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rPr>
          <w:rFonts w:eastAsia="Arial" w:cs="Arial"/>
          <w:b/>
          <w:bCs/>
          <w:color w:val="000000"/>
          <w:sz w:val="24"/>
          <w:szCs w:val="24"/>
        </w:rPr>
      </w:pPr>
      <w:r>
        <w:rPr>
          <w:rFonts w:eastAsia="Arial" w:cs="Arial"/>
          <w:b/>
          <w:bCs/>
          <w:color w:val="000000"/>
          <w:sz w:val="24"/>
          <w:szCs w:val="24"/>
        </w:rPr>
        <w:t>17.1 São as constantes do Termo de Referência, Anexo I deste Edital</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18 – DA DOTAÇÃO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Textbody"/>
        <w:spacing w:after="0" w:line="360" w:lineRule="auto"/>
        <w:ind w:firstLine="1417"/>
        <w:jc w:val="both"/>
      </w:pPr>
      <w:r>
        <w:rPr>
          <w:rFonts w:ascii="Times New Roman" w:hAnsi="Times New Roman"/>
          <w:b/>
          <w:bCs/>
          <w:sz w:val="24"/>
          <w:szCs w:val="24"/>
        </w:rPr>
        <w:tab/>
        <w:t>18.1 Os recursos para contratação estão previstos na Programação CNMP PLOA 201</w:t>
      </w:r>
      <w:r w:rsidR="005D64A7">
        <w:rPr>
          <w:rFonts w:ascii="Times New Roman" w:hAnsi="Times New Roman"/>
          <w:b/>
          <w:bCs/>
          <w:sz w:val="24"/>
          <w:szCs w:val="24"/>
        </w:rPr>
        <w:t>9</w:t>
      </w:r>
      <w:r>
        <w:rPr>
          <w:rFonts w:ascii="Times New Roman" w:hAnsi="Times New Roman"/>
          <w:b/>
          <w:bCs/>
          <w:sz w:val="24"/>
          <w:szCs w:val="24"/>
        </w:rPr>
        <w:t>, elemento</w:t>
      </w:r>
      <w:r w:rsidR="005746C2">
        <w:rPr>
          <w:rFonts w:ascii="Times New Roman" w:hAnsi="Times New Roman"/>
          <w:b/>
          <w:bCs/>
          <w:sz w:val="24"/>
          <w:szCs w:val="24"/>
        </w:rPr>
        <w:t>s</w:t>
      </w:r>
      <w:r>
        <w:rPr>
          <w:rFonts w:ascii="Times New Roman" w:hAnsi="Times New Roman"/>
          <w:b/>
          <w:bCs/>
          <w:sz w:val="24"/>
          <w:szCs w:val="24"/>
        </w:rPr>
        <w:t xml:space="preserve"> </w:t>
      </w:r>
      <w:r w:rsidRPr="005D64A7">
        <w:rPr>
          <w:rFonts w:ascii="Times New Roman" w:hAnsi="Times New Roman" w:cs="Times New Roman"/>
          <w:b/>
          <w:bCs/>
          <w:sz w:val="24"/>
          <w:szCs w:val="24"/>
        </w:rPr>
        <w:t>contáb</w:t>
      </w:r>
      <w:r w:rsidR="005746C2">
        <w:rPr>
          <w:rFonts w:ascii="Times New Roman" w:hAnsi="Times New Roman" w:cs="Times New Roman"/>
          <w:b/>
          <w:bCs/>
          <w:sz w:val="24"/>
          <w:szCs w:val="24"/>
        </w:rPr>
        <w:t>eis</w:t>
      </w:r>
      <w:r w:rsidRPr="005D64A7">
        <w:rPr>
          <w:rFonts w:ascii="Times New Roman" w:hAnsi="Times New Roman" w:cs="Times New Roman"/>
          <w:b/>
          <w:bCs/>
          <w:sz w:val="24"/>
          <w:szCs w:val="24"/>
        </w:rPr>
        <w:t xml:space="preserve"> </w:t>
      </w:r>
      <w:r w:rsidR="00536C22" w:rsidRPr="00536C22">
        <w:rPr>
          <w:rFonts w:ascii="Times New Roman" w:hAnsi="Times New Roman" w:cs="Times New Roman"/>
          <w:b/>
          <w:color w:val="000000"/>
          <w:sz w:val="24"/>
          <w:szCs w:val="24"/>
        </w:rPr>
        <w:t>33.90.40-06</w:t>
      </w:r>
      <w:r w:rsidR="005746C2">
        <w:rPr>
          <w:rFonts w:ascii="Times New Roman" w:hAnsi="Times New Roman" w:cs="Times New Roman"/>
          <w:b/>
          <w:color w:val="000000"/>
          <w:sz w:val="24"/>
          <w:szCs w:val="24"/>
        </w:rPr>
        <w:t>, 44.90.40-05 e 33.90.40-21</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19– DO PAGAMENTO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pacing w:line="360" w:lineRule="auto"/>
        <w:ind w:firstLine="1417"/>
        <w:jc w:val="both"/>
      </w:pPr>
      <w:r>
        <w:rPr>
          <w:rFonts w:eastAsia="Arial"/>
          <w:sz w:val="24"/>
          <w:szCs w:val="24"/>
        </w:rPr>
        <w:t xml:space="preserve">19.1 O pagamento será efetuado conforme o item </w:t>
      </w:r>
      <w:r w:rsidR="00D845CA">
        <w:rPr>
          <w:rFonts w:eastAsia="Arial"/>
          <w:sz w:val="24"/>
          <w:szCs w:val="24"/>
        </w:rPr>
        <w:t>08</w:t>
      </w:r>
      <w:r>
        <w:rPr>
          <w:rFonts w:eastAsia="Arial"/>
          <w:sz w:val="24"/>
          <w:szCs w:val="24"/>
        </w:rPr>
        <w:t xml:space="preserve"> do Termo de Referência.</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20 - DAS DISPOSIÇÕES FINAIS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lastRenderedPageBreak/>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11032" w:rsidRDefault="00EE68D3">
      <w:pPr>
        <w:pStyle w:val="Standard"/>
        <w:spacing w:line="360" w:lineRule="auto"/>
        <w:ind w:firstLine="1417"/>
        <w:jc w:val="both"/>
        <w:rPr>
          <w:sz w:val="24"/>
          <w:szCs w:val="24"/>
        </w:rPr>
      </w:pPr>
      <w:r>
        <w:rPr>
          <w:sz w:val="24"/>
          <w:szCs w:val="24"/>
        </w:rPr>
        <w:t>20.2 A anulação do procedimento licitatório por motivo de ilegalidade não gera a obrigação de indenizar, por parte da Administração, ressalvado o disposto no parágrafo único do art. 59 da Lei nº 8.666/93.</w:t>
      </w:r>
    </w:p>
    <w:p w:rsidR="00A11032" w:rsidRDefault="00EE68D3">
      <w:pPr>
        <w:pStyle w:val="Standard"/>
        <w:spacing w:line="360" w:lineRule="auto"/>
        <w:ind w:firstLine="1417"/>
        <w:jc w:val="both"/>
        <w:rPr>
          <w:sz w:val="24"/>
          <w:szCs w:val="24"/>
        </w:rPr>
      </w:pPr>
      <w:r>
        <w:rPr>
          <w:sz w:val="24"/>
          <w:szCs w:val="24"/>
        </w:rPr>
        <w:t>20.3 O objeto da presente licitação poderá sofrer acréscimos ou supressões, conforme previsto no § 1º, art. 65, da Lei nº 8.666/93 e § 2º, inciso II, art. 65, da Lei nº 9648/98.</w:t>
      </w:r>
    </w:p>
    <w:p w:rsidR="00A11032" w:rsidRDefault="00EE68D3">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A11032" w:rsidRDefault="00EE68D3">
      <w:pPr>
        <w:pStyle w:val="Standard"/>
        <w:spacing w:line="360" w:lineRule="auto"/>
        <w:ind w:firstLine="1417"/>
        <w:jc w:val="both"/>
        <w:rPr>
          <w:sz w:val="24"/>
          <w:szCs w:val="24"/>
        </w:rPr>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A11032" w:rsidRDefault="00EE68D3">
      <w:pPr>
        <w:pStyle w:val="Standard"/>
        <w:spacing w:line="360" w:lineRule="auto"/>
        <w:ind w:firstLine="1417"/>
        <w:jc w:val="both"/>
        <w:rPr>
          <w:b/>
          <w:bCs/>
          <w:sz w:val="24"/>
          <w:szCs w:val="24"/>
        </w:rPr>
      </w:pPr>
      <w:r>
        <w:rPr>
          <w:b/>
          <w:bCs/>
          <w:sz w:val="24"/>
          <w:szCs w:val="24"/>
        </w:rPr>
        <w:t>20.6 Após apresentação da proposta, não caberá desistência, salvo por motivo justo decorrente de fato superveniente e aceito pelo Pregoeiro.</w:t>
      </w:r>
    </w:p>
    <w:p w:rsidR="00A11032" w:rsidRDefault="00EE68D3">
      <w:pPr>
        <w:pStyle w:val="Standard"/>
        <w:spacing w:line="360" w:lineRule="auto"/>
        <w:ind w:firstLine="1417"/>
        <w:jc w:val="both"/>
        <w:rPr>
          <w:sz w:val="24"/>
          <w:szCs w:val="24"/>
        </w:rPr>
      </w:pPr>
      <w:r>
        <w:rPr>
          <w:sz w:val="24"/>
          <w:szCs w:val="24"/>
        </w:rPr>
        <w:t>20.7 Para fins de aplicação das sanções administrativas constantes no item 11 do presente Edital, o lance é considerado proposta.</w:t>
      </w:r>
    </w:p>
    <w:p w:rsidR="00A11032" w:rsidRDefault="00EE68D3">
      <w:pPr>
        <w:pStyle w:val="Standard"/>
        <w:spacing w:line="360" w:lineRule="auto"/>
        <w:ind w:firstLine="1417"/>
        <w:jc w:val="both"/>
        <w:rPr>
          <w:sz w:val="24"/>
          <w:szCs w:val="24"/>
        </w:rPr>
      </w:pPr>
      <w:r>
        <w:rPr>
          <w:sz w:val="24"/>
          <w:szCs w:val="24"/>
        </w:rPr>
        <w:t>20.8 Na contagem dos prazos estabelecidos neste Edital e seus anexos, excluir-se-á o dia do início e incluir-se-á o do vencimento. Só se iniciam e vencem os prazos nos dias úteis em que houver expediente no CNMP.</w:t>
      </w:r>
    </w:p>
    <w:p w:rsidR="00A11032" w:rsidRDefault="00EE68D3">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w:t>
      </w:r>
      <w:r>
        <w:rPr>
          <w:sz w:val="24"/>
          <w:szCs w:val="24"/>
        </w:rPr>
        <w:lastRenderedPageBreak/>
        <w:t xml:space="preserve">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A11032" w:rsidRDefault="00EE68D3">
      <w:pPr>
        <w:pStyle w:val="Standard"/>
        <w:spacing w:line="360" w:lineRule="auto"/>
        <w:ind w:firstLine="1417"/>
        <w:jc w:val="both"/>
        <w:rPr>
          <w:sz w:val="24"/>
          <w:szCs w:val="24"/>
        </w:rPr>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11032" w:rsidRDefault="00EE68D3">
      <w:pPr>
        <w:pStyle w:val="Standard"/>
        <w:spacing w:line="360" w:lineRule="auto"/>
        <w:ind w:firstLine="1417"/>
        <w:jc w:val="both"/>
        <w:rPr>
          <w:sz w:val="24"/>
          <w:szCs w:val="24"/>
        </w:rPr>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11032" w:rsidRDefault="00EE68D3">
      <w:pPr>
        <w:pStyle w:val="Standard"/>
        <w:spacing w:line="360" w:lineRule="auto"/>
        <w:ind w:firstLine="1417"/>
        <w:jc w:val="both"/>
        <w:rPr>
          <w:sz w:val="24"/>
          <w:szCs w:val="24"/>
        </w:rPr>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A11032" w:rsidRDefault="00EE68D3">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A11032" w:rsidRDefault="00EE68D3">
      <w:pPr>
        <w:pStyle w:val="Standard"/>
        <w:spacing w:line="360" w:lineRule="auto"/>
        <w:ind w:firstLine="1417"/>
        <w:jc w:val="both"/>
        <w:rPr>
          <w:sz w:val="24"/>
          <w:szCs w:val="24"/>
        </w:rPr>
      </w:pPr>
      <w:r>
        <w:rPr>
          <w:sz w:val="24"/>
          <w:szCs w:val="24"/>
        </w:rPr>
        <w:tab/>
        <w:t>20.1</w:t>
      </w:r>
      <w:r w:rsidR="00CF4F3A">
        <w:rPr>
          <w:sz w:val="24"/>
          <w:szCs w:val="24"/>
        </w:rPr>
        <w:t>4</w:t>
      </w:r>
      <w:r>
        <w:rPr>
          <w:sz w:val="24"/>
          <w:szCs w:val="24"/>
        </w:rPr>
        <w:t xml:space="preserve"> O CNMP não é unidade cadastradora do SICAF, apenas realiza consulta junto ao mesmo.</w:t>
      </w:r>
    </w:p>
    <w:p w:rsidR="00A11032" w:rsidRDefault="00EE68D3">
      <w:pPr>
        <w:pStyle w:val="Standard"/>
        <w:spacing w:line="360" w:lineRule="auto"/>
        <w:ind w:firstLine="1417"/>
        <w:jc w:val="both"/>
      </w:pPr>
      <w:r>
        <w:rPr>
          <w:sz w:val="24"/>
          <w:szCs w:val="24"/>
        </w:rPr>
        <w:t>20.1</w:t>
      </w:r>
      <w:r w:rsidR="00CF4F3A">
        <w:rPr>
          <w:sz w:val="24"/>
          <w:szCs w:val="24"/>
        </w:rPr>
        <w:t>5</w:t>
      </w:r>
      <w:r>
        <w:rPr>
          <w:sz w:val="24"/>
          <w:szCs w:val="24"/>
        </w:rPr>
        <w:t xml:space="preserve"> Os casos omissos, bem como dúvidas suscitadas, serão </w:t>
      </w:r>
      <w:proofErr w:type="gramStart"/>
      <w:r>
        <w:rPr>
          <w:sz w:val="24"/>
          <w:szCs w:val="24"/>
        </w:rPr>
        <w:t>dirimidas</w:t>
      </w:r>
      <w:proofErr w:type="gramEnd"/>
      <w:r>
        <w:rPr>
          <w:sz w:val="24"/>
          <w:szCs w:val="24"/>
        </w:rPr>
        <w:t xml:space="preserve"> pelo Pregoeiro através do correio eletrônico </w:t>
      </w:r>
      <w:hyperlink r:id="rId20" w:history="1">
        <w:r w:rsidR="008B672A">
          <w:rPr>
            <w:rStyle w:val="Internetlink"/>
            <w:sz w:val="24"/>
            <w:szCs w:val="24"/>
          </w:rPr>
          <w:t>licitacoes</w:t>
        </w:r>
        <w:r>
          <w:rPr>
            <w:rStyle w:val="Internetlink"/>
            <w:sz w:val="24"/>
            <w:szCs w:val="24"/>
          </w:rPr>
          <w:t>@cnmp.mp.br</w:t>
        </w:r>
      </w:hyperlink>
    </w:p>
    <w:p w:rsidR="00A11032" w:rsidRDefault="00EE68D3">
      <w:pPr>
        <w:pStyle w:val="Standard"/>
        <w:tabs>
          <w:tab w:val="left" w:pos="360"/>
        </w:tabs>
        <w:spacing w:line="360" w:lineRule="auto"/>
        <w:ind w:firstLine="1417"/>
        <w:jc w:val="both"/>
      </w:pPr>
      <w:r>
        <w:rPr>
          <w:rStyle w:val="Internetlink"/>
          <w:color w:val="00000A"/>
          <w:sz w:val="24"/>
          <w:szCs w:val="24"/>
          <w:u w:val="none"/>
        </w:rPr>
        <w:t>20.1</w:t>
      </w:r>
      <w:r w:rsidR="00CF4F3A">
        <w:rPr>
          <w:rStyle w:val="Internetlink"/>
          <w:color w:val="00000A"/>
          <w:sz w:val="24"/>
          <w:szCs w:val="24"/>
          <w:u w:val="none"/>
        </w:rPr>
        <w:t>6</w:t>
      </w:r>
      <w:r>
        <w:rPr>
          <w:rStyle w:val="Internetlink"/>
          <w:color w:val="00000A"/>
          <w:sz w:val="24"/>
          <w:szCs w:val="24"/>
          <w:u w:val="none"/>
        </w:rPr>
        <w:t xml:space="preserve"> O foro da Justiça Federal da cidade de Brasília-DF, é o competente para dirimir quaisquer questões judiciais resultantes deste Edital.</w:t>
      </w:r>
    </w:p>
    <w:p w:rsidR="00A11032" w:rsidRDefault="00A11032">
      <w:pPr>
        <w:pStyle w:val="Standard"/>
        <w:tabs>
          <w:tab w:val="left" w:pos="360"/>
        </w:tabs>
        <w:spacing w:line="360" w:lineRule="auto"/>
        <w:ind w:firstLine="1417"/>
        <w:jc w:val="both"/>
      </w:pPr>
    </w:p>
    <w:p w:rsidR="00A11032" w:rsidRDefault="00EE68D3">
      <w:pPr>
        <w:pStyle w:val="Standard"/>
        <w:tabs>
          <w:tab w:val="left" w:pos="2520"/>
        </w:tabs>
        <w:spacing w:line="360" w:lineRule="auto"/>
        <w:ind w:firstLine="1417"/>
        <w:jc w:val="right"/>
        <w:rPr>
          <w:sz w:val="24"/>
          <w:szCs w:val="24"/>
        </w:rPr>
      </w:pPr>
      <w:r>
        <w:rPr>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xxxx</w:t>
      </w:r>
      <w:proofErr w:type="spellEnd"/>
      <w:r>
        <w:rPr>
          <w:sz w:val="24"/>
          <w:szCs w:val="24"/>
        </w:rPr>
        <w:t xml:space="preserve"> de 2019.</w:t>
      </w:r>
    </w:p>
    <w:p w:rsidR="00A11032" w:rsidRDefault="00A11032">
      <w:pPr>
        <w:pStyle w:val="Standard"/>
        <w:spacing w:line="360" w:lineRule="auto"/>
        <w:jc w:val="center"/>
        <w:rPr>
          <w:b/>
          <w:sz w:val="24"/>
          <w:szCs w:val="24"/>
          <w:u w:val="double"/>
        </w:rPr>
      </w:pPr>
    </w:p>
    <w:p w:rsidR="00A11032" w:rsidRDefault="00A11032">
      <w:pPr>
        <w:pStyle w:val="Standard"/>
        <w:spacing w:line="360" w:lineRule="auto"/>
        <w:jc w:val="center"/>
        <w:rPr>
          <w:b/>
          <w:sz w:val="24"/>
          <w:szCs w:val="24"/>
          <w:u w:val="double"/>
        </w:rPr>
      </w:pPr>
    </w:p>
    <w:p w:rsidR="00A11032" w:rsidRDefault="00D845CA">
      <w:pPr>
        <w:pStyle w:val="Standard"/>
        <w:spacing w:line="360" w:lineRule="auto"/>
        <w:jc w:val="center"/>
        <w:rPr>
          <w:b/>
          <w:bCs/>
          <w:sz w:val="24"/>
          <w:szCs w:val="24"/>
        </w:rPr>
      </w:pPr>
      <w:r>
        <w:rPr>
          <w:b/>
          <w:bCs/>
          <w:sz w:val="24"/>
          <w:szCs w:val="24"/>
        </w:rPr>
        <w:t>Marciel Rubens da Silva</w:t>
      </w:r>
    </w:p>
    <w:p w:rsidR="00A11032" w:rsidRDefault="00EE68D3">
      <w:pPr>
        <w:pStyle w:val="Standard"/>
        <w:spacing w:line="360" w:lineRule="auto"/>
        <w:jc w:val="center"/>
        <w:rPr>
          <w:sz w:val="24"/>
          <w:szCs w:val="24"/>
        </w:rPr>
        <w:sectPr w:rsidR="00A11032">
          <w:headerReference w:type="default" r:id="rId21"/>
          <w:footerReference w:type="default" r:id="rId22"/>
          <w:pgSz w:w="11906" w:h="16838"/>
          <w:pgMar w:top="1746" w:right="1134" w:bottom="1740" w:left="1134" w:header="720" w:footer="720" w:gutter="0"/>
          <w:cols w:space="720"/>
        </w:sectPr>
      </w:pPr>
      <w:r>
        <w:rPr>
          <w:sz w:val="24"/>
          <w:szCs w:val="24"/>
        </w:rPr>
        <w:t>Pregoeir</w:t>
      </w:r>
      <w:r w:rsidR="00D845CA">
        <w:rPr>
          <w:sz w:val="24"/>
          <w:szCs w:val="24"/>
        </w:rPr>
        <w:t>o</w:t>
      </w:r>
      <w:r>
        <w:rPr>
          <w:sz w:val="24"/>
          <w:szCs w:val="24"/>
        </w:rPr>
        <w:t>/CNMP</w:t>
      </w:r>
    </w:p>
    <w:p w:rsidR="00A11032" w:rsidRDefault="00A11032">
      <w:pPr>
        <w:pStyle w:val="Standard"/>
        <w:spacing w:line="360" w:lineRule="auto"/>
        <w:jc w:val="center"/>
        <w:rPr>
          <w:b/>
          <w:sz w:val="24"/>
          <w:szCs w:val="24"/>
          <w:u w:val="single"/>
        </w:rPr>
      </w:pP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 xml:space="preserve">EDITAL DE LICITAÇÃO Nº </w:t>
      </w:r>
      <w:r w:rsidR="005D64A7" w:rsidRPr="00E06CD2">
        <w:rPr>
          <w:rFonts w:cs="Times New Roman"/>
          <w:b/>
          <w:sz w:val="24"/>
          <w:szCs w:val="24"/>
          <w:u w:val="single"/>
        </w:rPr>
        <w:t>1</w:t>
      </w:r>
      <w:r w:rsidR="00E06CD2">
        <w:rPr>
          <w:rFonts w:cs="Times New Roman"/>
          <w:b/>
          <w:sz w:val="24"/>
          <w:szCs w:val="24"/>
          <w:u w:val="single"/>
        </w:rPr>
        <w:t>7</w:t>
      </w:r>
      <w:r w:rsidRPr="00E06CD2">
        <w:rPr>
          <w:rFonts w:cs="Times New Roman"/>
          <w:b/>
          <w:sz w:val="24"/>
          <w:szCs w:val="24"/>
          <w:u w:val="single"/>
        </w:rPr>
        <w:t>/2019</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MODALIDADE – PREGÃO ELETRÔNICO</w:t>
      </w:r>
    </w:p>
    <w:p w:rsidR="00A11032" w:rsidRPr="00E06CD2" w:rsidRDefault="00EE68D3">
      <w:pPr>
        <w:pStyle w:val="Standard"/>
        <w:spacing w:line="360" w:lineRule="auto"/>
        <w:jc w:val="center"/>
        <w:rPr>
          <w:rFonts w:cs="Times New Roman"/>
          <w:sz w:val="24"/>
          <w:szCs w:val="24"/>
        </w:rPr>
      </w:pPr>
      <w:r w:rsidRPr="00E06CD2">
        <w:rPr>
          <w:rFonts w:cs="Times New Roman"/>
          <w:b/>
          <w:bCs/>
          <w:sz w:val="24"/>
          <w:szCs w:val="24"/>
          <w:u w:val="single"/>
        </w:rPr>
        <w:t>SEI</w:t>
      </w:r>
      <w:r w:rsidRPr="00E06CD2">
        <w:rPr>
          <w:rFonts w:cs="Times New Roman"/>
          <w:b/>
          <w:bCs/>
          <w:color w:val="000000"/>
          <w:sz w:val="24"/>
          <w:szCs w:val="24"/>
          <w:u w:val="single"/>
        </w:rPr>
        <w:t xml:space="preserve"> </w:t>
      </w:r>
      <w:r w:rsidR="00E06CD2" w:rsidRPr="00E06CD2">
        <w:rPr>
          <w:rFonts w:cs="Times New Roman"/>
          <w:b/>
          <w:bCs/>
          <w:color w:val="000000"/>
          <w:sz w:val="24"/>
          <w:szCs w:val="24"/>
          <w:u w:val="single"/>
        </w:rPr>
        <w:t>19.00.6300.0002315/2018-64</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UASG – 590001</w:t>
      </w:r>
    </w:p>
    <w:p w:rsidR="00A11032" w:rsidRPr="00E06CD2" w:rsidRDefault="00A11032">
      <w:pPr>
        <w:pStyle w:val="Standard"/>
        <w:spacing w:line="360" w:lineRule="auto"/>
        <w:jc w:val="center"/>
        <w:rPr>
          <w:rFonts w:cs="Times New Roman"/>
          <w:b/>
          <w:bCs/>
          <w:sz w:val="24"/>
          <w:szCs w:val="24"/>
          <w:u w:val="single"/>
        </w:rPr>
      </w:pPr>
    </w:p>
    <w:p w:rsidR="00A11032" w:rsidRPr="00E06CD2" w:rsidRDefault="00EE68D3">
      <w:pPr>
        <w:pStyle w:val="Standard"/>
        <w:spacing w:line="360" w:lineRule="auto"/>
        <w:jc w:val="center"/>
        <w:rPr>
          <w:rFonts w:eastAsia="Times New Roman" w:cs="Times New Roman"/>
          <w:b/>
          <w:bCs/>
          <w:sz w:val="24"/>
          <w:szCs w:val="24"/>
          <w:u w:val="single"/>
        </w:rPr>
      </w:pPr>
      <w:r w:rsidRPr="00E06CD2">
        <w:rPr>
          <w:rFonts w:eastAsia="Times New Roman" w:cs="Times New Roman"/>
          <w:b/>
          <w:bCs/>
          <w:sz w:val="24"/>
          <w:szCs w:val="24"/>
          <w:u w:val="single"/>
        </w:rPr>
        <w:t>ANEXO I</w:t>
      </w:r>
    </w:p>
    <w:p w:rsidR="00A11032" w:rsidRPr="00E06CD2" w:rsidRDefault="00A11032">
      <w:pPr>
        <w:pStyle w:val="Standard"/>
        <w:spacing w:line="360" w:lineRule="auto"/>
        <w:jc w:val="center"/>
        <w:rPr>
          <w:rFonts w:eastAsia="Times New Roman" w:cs="Times New Roman"/>
          <w:b/>
          <w:bCs/>
          <w:sz w:val="24"/>
          <w:szCs w:val="24"/>
          <w:u w:val="single"/>
        </w:rPr>
      </w:pPr>
    </w:p>
    <w:p w:rsidR="00A11032" w:rsidRDefault="00EE68D3">
      <w:pPr>
        <w:pStyle w:val="Standard"/>
        <w:spacing w:line="360" w:lineRule="auto"/>
        <w:jc w:val="center"/>
        <w:rPr>
          <w:rStyle w:val="Fontepargpadro1"/>
          <w:rFonts w:cs="Times New Roman"/>
          <w:b/>
          <w:bCs/>
          <w:sz w:val="24"/>
          <w:szCs w:val="24"/>
          <w:u w:val="single"/>
        </w:rPr>
      </w:pPr>
      <w:r w:rsidRPr="00E06CD2">
        <w:rPr>
          <w:rStyle w:val="Fontepargpadro1"/>
          <w:rFonts w:cs="Times New Roman"/>
          <w:b/>
          <w:bCs/>
          <w:sz w:val="24"/>
          <w:szCs w:val="24"/>
          <w:u w:val="single"/>
        </w:rPr>
        <w:t>TERMO DE REFERÊNCIA</w:t>
      </w:r>
    </w:p>
    <w:p w:rsidR="00E06CD2" w:rsidRPr="00E06CD2" w:rsidRDefault="00E06CD2">
      <w:pPr>
        <w:pStyle w:val="Standard"/>
        <w:spacing w:line="360" w:lineRule="auto"/>
        <w:jc w:val="center"/>
        <w:rPr>
          <w:rStyle w:val="Fontepargpadro1"/>
          <w:rFonts w:cs="Times New Roman"/>
          <w:b/>
          <w:bCs/>
          <w:sz w:val="24"/>
          <w:szCs w:val="24"/>
          <w:u w:val="single"/>
        </w:rPr>
      </w:pPr>
    </w:p>
    <w:p w:rsidR="00E06CD2" w:rsidRPr="00E06CD2" w:rsidRDefault="00E06CD2" w:rsidP="00E06CD2">
      <w:pPr>
        <w:pStyle w:val="western"/>
        <w:numPr>
          <w:ilvl w:val="0"/>
          <w:numId w:val="136"/>
        </w:numPr>
        <w:autoSpaceDN/>
        <w:spacing w:before="100" w:after="0" w:line="360" w:lineRule="auto"/>
        <w:jc w:val="both"/>
        <w:textAlignment w:val="auto"/>
        <w:rPr>
          <w:rFonts w:ascii="Times New Roman" w:hAnsi="Times New Roman" w:cs="Times New Roman"/>
          <w:b/>
          <w:kern w:val="0"/>
          <w:sz w:val="24"/>
          <w:szCs w:val="24"/>
          <w:lang w:eastAsia="zh-CN"/>
        </w:rPr>
      </w:pPr>
      <w:r w:rsidRPr="00E06CD2">
        <w:rPr>
          <w:rFonts w:ascii="Times New Roman" w:hAnsi="Times New Roman" w:cs="Times New Roman"/>
          <w:b/>
          <w:sz w:val="24"/>
          <w:szCs w:val="24"/>
        </w:rPr>
        <w:t>DO OBJETO</w:t>
      </w:r>
    </w:p>
    <w:p w:rsidR="00E06CD2" w:rsidRPr="00E06CD2" w:rsidRDefault="00E06CD2" w:rsidP="00E06CD2">
      <w:pPr>
        <w:pStyle w:val="Standarduser"/>
        <w:numPr>
          <w:ilvl w:val="1"/>
          <w:numId w:val="136"/>
        </w:numPr>
        <w:spacing w:before="100" w:after="100" w:afterAutospacing="1" w:line="276" w:lineRule="auto"/>
        <w:jc w:val="both"/>
        <w:rPr>
          <w:rStyle w:val="Fontepargpadro1"/>
          <w:sz w:val="24"/>
          <w:szCs w:val="24"/>
        </w:rPr>
      </w:pPr>
      <w:r w:rsidRPr="00E06CD2">
        <w:rPr>
          <w:rStyle w:val="Fontepargpadro1"/>
          <w:rFonts w:eastAsia="Arial, Arial"/>
          <w:color w:val="000000"/>
          <w:sz w:val="24"/>
          <w:szCs w:val="24"/>
        </w:rPr>
        <w:t xml:space="preserve">Contratação de Serviço Técnico Especializado e aquisição de licenças de produtos Microsoft, na modalidade </w:t>
      </w:r>
      <w:r w:rsidRPr="00E06CD2">
        <w:rPr>
          <w:rStyle w:val="Fontepargpadro1"/>
          <w:rFonts w:eastAsia="Arial, Arial"/>
          <w:i/>
          <w:color w:val="000000"/>
          <w:sz w:val="24"/>
          <w:szCs w:val="24"/>
        </w:rPr>
        <w:t xml:space="preserve">Microsoft Enterprise </w:t>
      </w:r>
      <w:proofErr w:type="spellStart"/>
      <w:r w:rsidRPr="00E06CD2">
        <w:rPr>
          <w:rStyle w:val="Fontepargpadro1"/>
          <w:rFonts w:eastAsia="Arial, Arial"/>
          <w:i/>
          <w:color w:val="000000"/>
          <w:sz w:val="24"/>
          <w:szCs w:val="24"/>
        </w:rPr>
        <w:t>Agreement</w:t>
      </w:r>
      <w:proofErr w:type="spellEnd"/>
      <w:r w:rsidRPr="00E06CD2">
        <w:rPr>
          <w:rStyle w:val="Fontepargpadro1"/>
          <w:rFonts w:eastAsia="Arial, Arial"/>
          <w:color w:val="000000"/>
          <w:sz w:val="24"/>
          <w:szCs w:val="24"/>
        </w:rPr>
        <w:t xml:space="preserve"> (EA), com a respectiva prestação de garantia, conforme tabela abaixo, a fim de atender as necessidades corporativas do CNMP, por um período de 36 meses, de acordo com as especificações e condições descritas no Termo de Referência.</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 contratação será do tipo menor preço em um lote e um item. </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As licenças serão de dois tipos: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em forma de subscrição;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do tipo perpétua com garantia de suporte e atualização do tipo Software </w:t>
      </w:r>
      <w:proofErr w:type="spellStart"/>
      <w:r w:rsidRPr="00E06CD2">
        <w:rPr>
          <w:rFonts w:ascii="Times New Roman" w:hAnsi="Times New Roman" w:cs="Times New Roman"/>
          <w:sz w:val="24"/>
          <w:szCs w:val="24"/>
        </w:rPr>
        <w:t>Assurance</w:t>
      </w:r>
      <w:proofErr w:type="spellEnd"/>
      <w:r w:rsidRPr="00E06CD2">
        <w:rPr>
          <w:rFonts w:ascii="Times New Roman" w:hAnsi="Times New Roman" w:cs="Times New Roman"/>
          <w:sz w:val="24"/>
          <w:szCs w:val="24"/>
        </w:rPr>
        <w:t>:</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O serviço especializado e as licenças objetos da contratação serão descritas e terão quantidades máximas estipuladas no item descrição do objeto, deste termo de referência. </w:t>
      </w:r>
      <w:r w:rsidRPr="00E06CD2">
        <w:rPr>
          <w:rFonts w:ascii="Times New Roman" w:hAnsi="Times New Roman" w:cs="Times New Roman"/>
          <w:sz w:val="24"/>
          <w:szCs w:val="24"/>
        </w:rPr>
        <w:tab/>
      </w: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eastAsia="Times New Roman" w:hAnsi="Times New Roman" w:cs="Times New Roman"/>
          <w:b/>
          <w:sz w:val="24"/>
          <w:szCs w:val="24"/>
        </w:rPr>
      </w:pPr>
      <w:r w:rsidRPr="00E06CD2">
        <w:rPr>
          <w:rFonts w:ascii="Times New Roman" w:hAnsi="Times New Roman" w:cs="Times New Roman"/>
          <w:b/>
          <w:sz w:val="24"/>
          <w:szCs w:val="24"/>
        </w:rPr>
        <w:t>DA JUSTIFICATIVA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Detectou-se no decorrer da implantação do referido serviço que seriam necessárias adequações de licenciamento, o qual é objeto deste termo de referência.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lastRenderedPageBreak/>
        <w:t>Optou-se por dividir a contratação em dois lotes distintos, sendo um exclusivo para fornecimento de licenças e suporte direto com o fabricante e outro para contratação de empresa para prestação de serviços especializados, por entender que este modelo ampliará a concorrência permitindo a participação de empresas que atuem apenas prestando serviços técnicos especializados.</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Como modelo de contratação optou-se por definir quantidades máximos estimadas de cada produto com a possibilidade de aquisição, no caso de licenças perpétuas, ou assinaturas, no caso de subscrições, de acordo com a demanda, que é necessariamente variável haja vista a constante entrada e saída de servidores públicos e terceirizados no órgão além do aumento de demanda por novos serviços.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Quanto as licenças do tipo perpétua a quantidade máxima estimada foi definida baseada nas regras de licenciamento do produto versus a quantidade de equipamentos de </w:t>
      </w:r>
      <w:proofErr w:type="gramStart"/>
      <w:r w:rsidRPr="00E06CD2">
        <w:rPr>
          <w:sz w:val="24"/>
          <w:szCs w:val="24"/>
        </w:rPr>
        <w:t>TI  do</w:t>
      </w:r>
      <w:proofErr w:type="gramEnd"/>
      <w:r w:rsidRPr="00E06CD2">
        <w:rPr>
          <w:sz w:val="24"/>
          <w:szCs w:val="24"/>
        </w:rPr>
        <w:t xml:space="preserve"> tipo servidor presentes no CPD do CNMP possíveis de serem licenciados.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despeito de a contratação ser realizada com empresa parceira da Microsoft, o prazo de vigência é estabelecido pelo fabricante para um período mínimo de 36 meses para a modalidade Enterprise </w:t>
      </w:r>
      <w:proofErr w:type="spellStart"/>
      <w:r w:rsidRPr="00E06CD2">
        <w:rPr>
          <w:sz w:val="24"/>
          <w:szCs w:val="24"/>
        </w:rPr>
        <w:t>Agreement</w:t>
      </w:r>
      <w:proofErr w:type="spellEnd"/>
      <w:r w:rsidRPr="00E06CD2">
        <w:rPr>
          <w:sz w:val="24"/>
          <w:szCs w:val="24"/>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CNMP, além de possibilitar a flexibilização do quantitativo de licenças ano a ano, nos casos de aditamento. O prazo de vigência permite ainda a mitigação do risco diante da volatilidade do mercado, de se onerar o contrato em repactuações anuais, uma vez que o valor contratado não será reajustado, salvo por alteração no quantitativo de licenças utilizado. </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sz w:val="24"/>
          <w:szCs w:val="24"/>
        </w:rPr>
        <w:t xml:space="preserve">DA QUALIFICAÇÃO TÉCNICA </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bCs/>
          <w:sz w:val="24"/>
          <w:szCs w:val="24"/>
        </w:rPr>
        <w:t>Para os itens referentes ao fornecimento de licença:</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 xml:space="preserve">A empresa deverá, obrigatoriamente, caso se sagre vencedora do certame para os itens de fornecimento de licenças e suporte, no momento da assinatura do contrato, apresentar </w:t>
      </w:r>
      <w:r w:rsidRPr="00E06CD2">
        <w:rPr>
          <w:rStyle w:val="Fontepargpadro1"/>
          <w:bCs/>
          <w:sz w:val="24"/>
          <w:szCs w:val="24"/>
        </w:rPr>
        <w:lastRenderedPageBreak/>
        <w:t xml:space="preserve">cópia autenticada de declaração emitida pela Microsoft de que é uma </w:t>
      </w:r>
      <w:r w:rsidRPr="00E06CD2">
        <w:rPr>
          <w:rStyle w:val="Fontepargpadro1"/>
          <w:sz w:val="24"/>
          <w:szCs w:val="24"/>
        </w:rPr>
        <w:t xml:space="preserve">revenda autorizada GP – </w:t>
      </w:r>
      <w:proofErr w:type="spellStart"/>
      <w:r w:rsidRPr="00E06CD2">
        <w:rPr>
          <w:rStyle w:val="Fontepargpadro1"/>
          <w:i/>
          <w:sz w:val="24"/>
          <w:szCs w:val="24"/>
        </w:rPr>
        <w:t>Government</w:t>
      </w:r>
      <w:proofErr w:type="spellEnd"/>
      <w:r w:rsidRPr="00E06CD2">
        <w:rPr>
          <w:rStyle w:val="Fontepargpadro1"/>
          <w:i/>
          <w:sz w:val="24"/>
          <w:szCs w:val="24"/>
        </w:rPr>
        <w:t xml:space="preserve"> </w:t>
      </w:r>
      <w:proofErr w:type="spellStart"/>
      <w:r w:rsidRPr="00E06CD2">
        <w:rPr>
          <w:rStyle w:val="Fontepargpadro1"/>
          <w:i/>
          <w:sz w:val="24"/>
          <w:szCs w:val="24"/>
        </w:rPr>
        <w:t>Partners</w:t>
      </w:r>
      <w:proofErr w:type="spellEnd"/>
      <w:r w:rsidRPr="00E06CD2">
        <w:rPr>
          <w:rStyle w:val="Fontepargpadro1"/>
          <w:sz w:val="24"/>
          <w:szCs w:val="24"/>
        </w:rPr>
        <w:t xml:space="preserve">, demonstrando estar habilitada pela Microsoft para atuar junto a instituições governamentais e </w:t>
      </w:r>
      <w:r w:rsidRPr="00E06CD2">
        <w:rPr>
          <w:rStyle w:val="Fontepargpadro1"/>
          <w:bCs/>
          <w:sz w:val="24"/>
          <w:szCs w:val="24"/>
        </w:rPr>
        <w:t xml:space="preserve">cópia autenticada de declaração emitida pela Microsoft de que é uma revenda autorizada Microsoft (LSP – </w:t>
      </w:r>
      <w:proofErr w:type="spellStart"/>
      <w:r w:rsidRPr="00E06CD2">
        <w:rPr>
          <w:rStyle w:val="Fontepargpadro1"/>
          <w:bCs/>
          <w:i/>
          <w:sz w:val="24"/>
          <w:szCs w:val="24"/>
        </w:rPr>
        <w:t>Licensing</w:t>
      </w:r>
      <w:proofErr w:type="spellEnd"/>
      <w:r w:rsidRPr="00E06CD2">
        <w:rPr>
          <w:rStyle w:val="Fontepargpadro1"/>
          <w:bCs/>
          <w:i/>
          <w:sz w:val="24"/>
          <w:szCs w:val="24"/>
        </w:rPr>
        <w:t xml:space="preserve"> </w:t>
      </w:r>
      <w:proofErr w:type="spellStart"/>
      <w:r w:rsidRPr="00E06CD2">
        <w:rPr>
          <w:rStyle w:val="Fontepargpadro1"/>
          <w:bCs/>
          <w:i/>
          <w:sz w:val="24"/>
          <w:szCs w:val="24"/>
        </w:rPr>
        <w:t>Solution</w:t>
      </w:r>
      <w:proofErr w:type="spellEnd"/>
      <w:r w:rsidRPr="00E06CD2">
        <w:rPr>
          <w:rStyle w:val="Fontepargpadro1"/>
          <w:bCs/>
          <w:i/>
          <w:sz w:val="24"/>
          <w:szCs w:val="24"/>
        </w:rPr>
        <w:t xml:space="preserve"> </w:t>
      </w:r>
      <w:proofErr w:type="spellStart"/>
      <w:r w:rsidRPr="00E06CD2">
        <w:rPr>
          <w:rStyle w:val="Fontepargpadro1"/>
          <w:bCs/>
          <w:i/>
          <w:sz w:val="24"/>
          <w:szCs w:val="24"/>
        </w:rPr>
        <w:t>Provider</w:t>
      </w:r>
      <w:proofErr w:type="spellEnd"/>
      <w:r w:rsidRPr="00E06CD2">
        <w:rPr>
          <w:rStyle w:val="Fontepargpadro1"/>
          <w:bCs/>
          <w:sz w:val="24"/>
          <w:szCs w:val="24"/>
        </w:rPr>
        <w:t xml:space="preserve">), demonstrando desta forma estar habilitada a operacionalizar contratos de licenciamento por volume Microsoft </w:t>
      </w:r>
      <w:r w:rsidRPr="00E06CD2">
        <w:rPr>
          <w:rStyle w:val="Fontepargpadro1"/>
          <w:bCs/>
          <w:i/>
          <w:sz w:val="24"/>
          <w:szCs w:val="24"/>
        </w:rPr>
        <w:t xml:space="preserve">Enterprise </w:t>
      </w:r>
      <w:proofErr w:type="spellStart"/>
      <w:r w:rsidRPr="00E06CD2">
        <w:rPr>
          <w:rStyle w:val="Fontepargpadro1"/>
          <w:bCs/>
          <w:i/>
          <w:sz w:val="24"/>
          <w:szCs w:val="24"/>
        </w:rPr>
        <w:t>Agreement</w:t>
      </w:r>
      <w:proofErr w:type="spellEnd"/>
      <w:r w:rsidRPr="00E06CD2">
        <w:rPr>
          <w:rStyle w:val="Fontepargpadro1"/>
          <w:sz w:val="24"/>
          <w:szCs w:val="24"/>
        </w:rPr>
        <w:t>.</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sz w:val="24"/>
          <w:szCs w:val="24"/>
        </w:rPr>
        <w:t>Para o item Serviço Técnico Especializado de Suporte ativo e reativo, Instalação, implantação, configuração e ajustes de desempenho para produtos da plataforma Microsoft:</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rsidR="00E06CD2" w:rsidRPr="00E06CD2" w:rsidRDefault="00E06CD2" w:rsidP="00E06CD2">
      <w:pPr>
        <w:pStyle w:val="Standarduser"/>
        <w:numPr>
          <w:ilvl w:val="2"/>
          <w:numId w:val="136"/>
        </w:numPr>
        <w:spacing w:before="100" w:line="276" w:lineRule="auto"/>
        <w:jc w:val="both"/>
        <w:rPr>
          <w:sz w:val="24"/>
          <w:szCs w:val="24"/>
        </w:rPr>
      </w:pPr>
      <w:r w:rsidRPr="00E06CD2">
        <w:rPr>
          <w:rStyle w:val="Fontepargpadro1"/>
          <w:bCs/>
          <w:sz w:val="24"/>
          <w:szCs w:val="24"/>
        </w:rPr>
        <w:t>Os técnicos que atenderão a CONTRATANTE deverão estar aptos a trabalharem com as plataformas objetos de contratação deste edital devendo ter pleno conhecimento de todas as suas funcionalidades e possuir as certificações abaixo</w:t>
      </w:r>
      <w:r w:rsidRPr="00E06CD2">
        <w:rPr>
          <w:sz w:val="24"/>
          <w:szCs w:val="24"/>
        </w:rPr>
        <w:t xml:space="preserve">. </w:t>
      </w:r>
    </w:p>
    <w:p w:rsidR="00E06CD2" w:rsidRPr="00E06CD2" w:rsidRDefault="00E06CD2" w:rsidP="00E06CD2">
      <w:pPr>
        <w:pStyle w:val="Standarduser"/>
        <w:numPr>
          <w:ilvl w:val="2"/>
          <w:numId w:val="136"/>
        </w:numPr>
        <w:spacing w:before="100" w:line="276" w:lineRule="auto"/>
        <w:jc w:val="both"/>
        <w:rPr>
          <w:rStyle w:val="Fontepargpadro1"/>
          <w:bCs/>
          <w:sz w:val="24"/>
          <w:szCs w:val="24"/>
        </w:rPr>
      </w:pPr>
      <w:r w:rsidRPr="00E06CD2">
        <w:rPr>
          <w:rStyle w:val="Fontepargpadro1"/>
          <w:bCs/>
          <w:sz w:val="24"/>
          <w:szCs w:val="24"/>
        </w:rPr>
        <w:t xml:space="preserve">A Contratada deverá empregar profissionais capacitados e certificados com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w:t>
      </w:r>
      <w:proofErr w:type="spellStart"/>
      <w:r w:rsidRPr="00E06CD2">
        <w:rPr>
          <w:rStyle w:val="Fontepargpadro1"/>
          <w:bCs/>
          <w:i/>
          <w:sz w:val="24"/>
          <w:szCs w:val="24"/>
        </w:rPr>
        <w:t>Associate</w:t>
      </w:r>
      <w:proofErr w:type="spellEnd"/>
      <w:r w:rsidRPr="00E06CD2">
        <w:rPr>
          <w:rStyle w:val="Fontepargpadro1"/>
          <w:bCs/>
          <w:sz w:val="24"/>
          <w:szCs w:val="24"/>
        </w:rPr>
        <w:t xml:space="preserve"> (MCSA),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Expert</w:t>
      </w:r>
      <w:r w:rsidRPr="00E06CD2">
        <w:rPr>
          <w:rStyle w:val="Fontepargpadro1"/>
          <w:bCs/>
          <w:sz w:val="24"/>
          <w:szCs w:val="24"/>
        </w:rPr>
        <w:t xml:space="preserve"> (MCSE) e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Technology </w:t>
      </w:r>
      <w:proofErr w:type="spellStart"/>
      <w:r w:rsidRPr="00E06CD2">
        <w:rPr>
          <w:rStyle w:val="Fontepargpadro1"/>
          <w:bCs/>
          <w:i/>
          <w:sz w:val="24"/>
          <w:szCs w:val="24"/>
        </w:rPr>
        <w:t>Specialist</w:t>
      </w:r>
      <w:proofErr w:type="spellEnd"/>
      <w:r w:rsidRPr="00E06CD2">
        <w:rPr>
          <w:rStyle w:val="Fontepargpadro1"/>
          <w:bCs/>
          <w:sz w:val="24"/>
          <w:szCs w:val="24"/>
        </w:rPr>
        <w:t xml:space="preserve"> (MCTS), conforme tecnologia e conhecimentos necessários a serem empregados nos serviços</w:t>
      </w:r>
    </w:p>
    <w:p w:rsidR="00E06CD2" w:rsidRPr="00E06CD2" w:rsidRDefault="00E06CD2" w:rsidP="00E06CD2">
      <w:pPr>
        <w:pStyle w:val="western"/>
        <w:numPr>
          <w:ilvl w:val="0"/>
          <w:numId w:val="136"/>
        </w:numPr>
        <w:tabs>
          <w:tab w:val="left" w:pos="2025"/>
        </w:tabs>
        <w:autoSpaceDN/>
        <w:spacing w:before="100" w:after="0" w:line="276" w:lineRule="auto"/>
        <w:jc w:val="both"/>
        <w:textAlignment w:val="auto"/>
        <w:rPr>
          <w:rFonts w:ascii="Times New Roman" w:hAnsi="Times New Roman" w:cs="Times New Roman"/>
          <w:b/>
          <w:sz w:val="24"/>
          <w:szCs w:val="24"/>
        </w:rPr>
      </w:pPr>
      <w:bookmarkStart w:id="1" w:name="_Ref292810875"/>
      <w:r w:rsidRPr="00E06CD2">
        <w:rPr>
          <w:rFonts w:ascii="Times New Roman" w:hAnsi="Times New Roman" w:cs="Times New Roman"/>
          <w:b/>
          <w:sz w:val="24"/>
          <w:szCs w:val="24"/>
        </w:rPr>
        <w:t>D</w:t>
      </w:r>
      <w:bookmarkEnd w:id="1"/>
      <w:r w:rsidRPr="00E06CD2">
        <w:rPr>
          <w:rFonts w:ascii="Times New Roman" w:hAnsi="Times New Roman" w:cs="Times New Roman"/>
          <w:b/>
          <w:sz w:val="24"/>
          <w:szCs w:val="24"/>
        </w:rPr>
        <w:t>ESCRIÇÃO DO OBJETO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Trata-se de aquisição de licenciamento de produtos Microsoft pelo menor preço, sob demanda, e serviços técnicos especializados, conforme tabela abaixo:</w:t>
      </w:r>
    </w:p>
    <w:p w:rsidR="00E06CD2" w:rsidRPr="00E06CD2" w:rsidRDefault="00E06CD2" w:rsidP="00E06CD2">
      <w:pPr>
        <w:pStyle w:val="Standarduser"/>
        <w:spacing w:before="100" w:line="276" w:lineRule="auto"/>
        <w:jc w:val="both"/>
        <w:rPr>
          <w:bCs/>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E06CD2" w:rsidRPr="00E06CD2" w:rsidTr="00F24E9E">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 anual</w:t>
            </w:r>
          </w:p>
        </w:tc>
      </w:tr>
      <w:tr w:rsidR="00E06CD2" w:rsidRPr="00E06CD2" w:rsidTr="00F24E9E">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lastRenderedPageBreak/>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w:t>
            </w:r>
            <w:r w:rsidR="00E06CD2" w:rsidRPr="00E06CD2">
              <w:rPr>
                <w:rFonts w:ascii="Times New Roman" w:hAnsi="Times New Roman" w:cs="Times New Roman"/>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F24E9E">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Pr="00E06CD2" w:rsidRDefault="00E06CD2" w:rsidP="00E06CD2">
      <w:pPr>
        <w:pStyle w:val="Standarduser"/>
        <w:spacing w:before="100" w:line="276" w:lineRule="auto"/>
        <w:jc w:val="center"/>
        <w:rPr>
          <w:sz w:val="24"/>
          <w:szCs w:val="24"/>
        </w:rPr>
      </w:pPr>
      <w:r w:rsidRPr="00E06CD2">
        <w:rPr>
          <w:sz w:val="24"/>
          <w:szCs w:val="24"/>
        </w:rPr>
        <w:t>Tabela 1 – Quantitativos e valores estimados</w:t>
      </w:r>
    </w:p>
    <w:p w:rsidR="00E06CD2" w:rsidRPr="00E06CD2" w:rsidRDefault="00E06CD2" w:rsidP="00E06CD2">
      <w:pPr>
        <w:pStyle w:val="Standarduser"/>
        <w:spacing w:before="100" w:line="276" w:lineRule="auto"/>
        <w:jc w:val="center"/>
        <w:rPr>
          <w:bCs/>
          <w:sz w:val="24"/>
          <w:szCs w:val="24"/>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contratação foi dividida em 1(um) lote e 1(um) item, agrupando as licenças em um único lote a fim de evitar que algum item não seja adjudicado em detrimento de outros, o que viria a inviabilizar os projetos do órgão. O tem aparte, trata-se de serviço que pode ser executado por empresa especializada que não obrigatoriamente seja revendedora de produtos Microsoft;</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Os valores estimados, para validar a viabilidade da contratação, foram baseados em pesquisa de preço obtida com fornecedor;</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As quantidades máximas estimadas foram baseadas nos seguintes parâmetros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lastRenderedPageBreak/>
        <w:t>Salienta-se que, em relação as licenças do tipo subscrição, as quantidades são projeções/estimativas de utilização máxima, em um prazo de 36 meses, de difícil aferição, e que por esta razão, a contratação será sob demanda e pagamento pelo que efetivamente vier a ser utilizado.</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subscrições de licenças do tipo Office 365, similar ao total máximo já atingido de licenças de </w:t>
      </w:r>
      <w:proofErr w:type="spellStart"/>
      <w:r w:rsidRPr="00E06CD2">
        <w:rPr>
          <w:bCs/>
          <w:sz w:val="24"/>
          <w:szCs w:val="24"/>
        </w:rPr>
        <w:t>email</w:t>
      </w:r>
      <w:proofErr w:type="spellEnd"/>
      <w:r w:rsidRPr="00E06CD2">
        <w:rPr>
          <w:bCs/>
          <w:sz w:val="24"/>
          <w:szCs w:val="24"/>
        </w:rPr>
        <w:t xml:space="preserve"> já criadas nos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subscrições do tipo Microsoft Project Online de forma a atender a utilização da ferramenta por todos os servidores do CNMP e na sua versão Premium de forma a atender gestores das áreas.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 Foi estimado um total de subscrições do tipo Microsoft Visio Online de forma a atender a utilização da ferramenta por todos 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System Center Server Datacenter necessária para que o serviço seja executado em 2(dois)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Windows Server Datacenter necessária para que o serviço seja executado em 7(sete)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licenças do tipo perpétua de </w:t>
      </w:r>
      <w:proofErr w:type="spellStart"/>
      <w:r w:rsidRPr="00E06CD2">
        <w:rPr>
          <w:bCs/>
          <w:sz w:val="24"/>
          <w:szCs w:val="24"/>
        </w:rPr>
        <w:t>Sql</w:t>
      </w:r>
      <w:proofErr w:type="spellEnd"/>
      <w:r w:rsidRPr="00E06CD2">
        <w:rPr>
          <w:bCs/>
          <w:sz w:val="24"/>
          <w:szCs w:val="24"/>
        </w:rPr>
        <w:t xml:space="preserve"> Server necessária para que o serviço seja executado em pelo menos 2(dois) computadores do tipo servidor de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Um total de 2 meses de trabalho em cada ano da vigência do contrato, com 20 dias úteis cada, 8 horas diárias, totalizando: 2 * 20 * 8 = 320 UST, por ano, ou 960 UST durante a vigência contratual</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 xml:space="preserve">Os valores acima são previsões e foram divididos apenas para fim de estimativa, não os limitando ao tipo de demanda a ser atendida, devendo o serviço, sob demanda, atender a qualquer das atividades previstas.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Assim como as licenças por subscrição, trata-se de estimativa máxima, de difícil aferição, haja vista as demandas poderem se mostrar mais complexas que o esperado, e que por isso, será sob demanda e pagamento pelo realmente consumido.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 fornecimento das licenças será sob demanda do órgão, sendo as quantidades estipuladas apenas um máximo previsto de aquisição durante a vigência do contrato.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lastRenderedPageBreak/>
        <w:t xml:space="preserve">Conforme previsto no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o quantitativo de licenças do tipo subscrição poderá ser ajustado para mais ou para menos durante toda a vigência do contrato, conforme as seguintes regras: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Aumento do número de licenças</w:t>
      </w:r>
      <w:r w:rsidRPr="00E06CD2">
        <w:rPr>
          <w:bCs/>
          <w:sz w:val="24"/>
          <w:szCs w:val="24"/>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E06CD2">
        <w:rPr>
          <w:bCs/>
          <w:i/>
          <w:sz w:val="24"/>
          <w:szCs w:val="24"/>
        </w:rPr>
        <w:t>true-up</w:t>
      </w:r>
      <w:proofErr w:type="spellEnd"/>
      <w:r w:rsidRPr="00E06CD2">
        <w:rPr>
          <w:bCs/>
          <w:sz w:val="24"/>
          <w:szCs w:val="24"/>
        </w:rPr>
        <w:t>, onde a CONTRATANTE informará o acréscimo de licenças ocorrido ao longo do ano. Será feito então um cálculo pró-rata sobre esse acréscimo dos serviços online e o valor será somado na próxima fatura a vencer;</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Redução do número de licenças:</w:t>
      </w:r>
      <w:r w:rsidRPr="00E06CD2">
        <w:rPr>
          <w:bCs/>
          <w:sz w:val="24"/>
          <w:szCs w:val="24"/>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A futura original do próximo aniversário será cancelada e uma nova fatura, referente apenas a nova quantidade de licenças será gerada com o seu valor já refletindo a redução das licenças.</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rsidR="00E06CD2" w:rsidRPr="00E06CD2" w:rsidRDefault="00E06CD2" w:rsidP="00E06CD2">
      <w:pPr>
        <w:pStyle w:val="Standarduser"/>
        <w:spacing w:before="100" w:line="276" w:lineRule="auto"/>
        <w:ind w:left="792"/>
        <w:jc w:val="both"/>
        <w:rPr>
          <w:sz w:val="24"/>
          <w:szCs w:val="24"/>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Part Number</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proofErr w:type="spellStart"/>
            <w:r w:rsidRPr="00E06CD2">
              <w:rPr>
                <w:b/>
                <w:bCs/>
                <w:sz w:val="24"/>
                <w:szCs w:val="24"/>
                <w:lang w:val="en-US" w:bidi="hi-IN"/>
              </w:rPr>
              <w:t>Produto</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Familia</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bCs/>
                <w:sz w:val="24"/>
                <w:szCs w:val="24"/>
                <w:lang w:bidi="hi-IN"/>
              </w:rPr>
              <w:t>AAA-04151</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E1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E1</w:t>
            </w:r>
          </w:p>
        </w:tc>
      </w:tr>
      <w:tr w:rsidR="00E06CD2" w:rsidRPr="00E06CD2" w:rsidTr="00E06CD2">
        <w:trPr>
          <w:trHeight w:val="784"/>
        </w:trPr>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AAA-04073</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E3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E3</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AAA-30395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System Center Server Datacenter Per Core 2 com Software </w:t>
            </w:r>
            <w:proofErr w:type="spellStart"/>
            <w:r w:rsidRPr="00E06CD2">
              <w:rPr>
                <w:sz w:val="24"/>
                <w:szCs w:val="24"/>
                <w:lang w:bidi="hi-IN"/>
              </w:rPr>
              <w:t>Assurance</w:t>
            </w:r>
            <w:proofErr w:type="spellEnd"/>
            <w:r w:rsidRPr="00E06CD2">
              <w:rPr>
                <w:sz w:val="24"/>
                <w:szCs w:val="24"/>
                <w:lang w:bidi="hi-IN"/>
              </w:rPr>
              <w:t xml:space="preserve">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SYS CTR DATACENTER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AAA-30380</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rStyle w:val="Fontepargpadro1"/>
                <w:sz w:val="24"/>
                <w:szCs w:val="24"/>
                <w:lang w:val="en-US" w:bidi="hi-IN"/>
              </w:rPr>
              <w:t xml:space="preserve">Windows Server Datacenter Per Core 2 Licenses com Software Assurance </w:t>
            </w:r>
            <w:proofErr w:type="spellStart"/>
            <w:r w:rsidRPr="00E06CD2">
              <w:rPr>
                <w:rStyle w:val="Fontepargpadro1"/>
                <w:sz w:val="24"/>
                <w:szCs w:val="24"/>
                <w:lang w:val="en-US" w:bidi="hi-IN"/>
              </w:rPr>
              <w:t>por</w:t>
            </w:r>
            <w:proofErr w:type="spellEnd"/>
            <w:r w:rsidRPr="00E06CD2">
              <w:rPr>
                <w:rStyle w:val="Fontepargpadro1"/>
                <w:sz w:val="24"/>
                <w:szCs w:val="24"/>
                <w:lang w:val="en-US" w:bidi="hi-IN"/>
              </w:rPr>
              <w:t xml:space="preserve"> 36 </w:t>
            </w:r>
            <w:proofErr w:type="spellStart"/>
            <w:r w:rsidRPr="00E06CD2">
              <w:rPr>
                <w:rStyle w:val="Fontepargpadro1"/>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sz w:val="24"/>
                <w:szCs w:val="24"/>
                <w:lang w:val="en-US" w:bidi="hi-IN"/>
              </w:rPr>
              <w:t>WINDOWS SERVER DC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lastRenderedPageBreak/>
              <w:t>AAA-03985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System center server configuration manager per user management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val="en-US" w:bidi="hi-IN"/>
              </w:rPr>
            </w:pPr>
            <w:r w:rsidRPr="00E06CD2">
              <w:rPr>
                <w:sz w:val="24"/>
                <w:szCs w:val="24"/>
                <w:lang w:val="en-US" w:bidi="hi-IN"/>
              </w:rPr>
              <w:t>SYS CTR CONFIG MGR CLT MGMT LIC</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AAA-03788</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Windows server per user client access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WINDOWS SERVER CAL</w:t>
            </w:r>
          </w:p>
        </w:tc>
      </w:tr>
    </w:tbl>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roofErr w:type="spellStart"/>
      <w:r w:rsidRPr="00E06CD2">
        <w:rPr>
          <w:rFonts w:eastAsia="Arial"/>
          <w:bCs/>
          <w:sz w:val="24"/>
          <w:szCs w:val="24"/>
          <w:lang w:val="en-US"/>
        </w:rPr>
        <w:t>Tabela</w:t>
      </w:r>
      <w:proofErr w:type="spellEnd"/>
      <w:r w:rsidRPr="00E06CD2">
        <w:rPr>
          <w:rFonts w:eastAsia="Arial"/>
          <w:bCs/>
          <w:sz w:val="24"/>
          <w:szCs w:val="24"/>
          <w:lang w:val="en-US"/>
        </w:rPr>
        <w:t xml:space="preserve"> 2 – </w:t>
      </w:r>
      <w:proofErr w:type="spellStart"/>
      <w:r w:rsidRPr="00E06CD2">
        <w:rPr>
          <w:rFonts w:eastAsia="Arial"/>
          <w:bCs/>
          <w:sz w:val="24"/>
          <w:szCs w:val="24"/>
          <w:lang w:val="en-US"/>
        </w:rPr>
        <w:t>Licenças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adquiridas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previamente</w:t>
      </w:r>
      <w:proofErr w:type="spellEnd"/>
      <w:r w:rsidRPr="00E06CD2">
        <w:rPr>
          <w:rFonts w:eastAsia="Arial"/>
          <w:bCs/>
          <w:sz w:val="24"/>
          <w:szCs w:val="24"/>
          <w:lang w:val="en-US"/>
        </w:rPr>
        <w:t xml:space="preserve"> </w:t>
      </w:r>
      <w:proofErr w:type="spellStart"/>
      <w:r w:rsidRPr="00E06CD2">
        <w:rPr>
          <w:rFonts w:eastAsia="Arial"/>
          <w:bCs/>
          <w:sz w:val="24"/>
          <w:szCs w:val="24"/>
          <w:lang w:val="en-US"/>
        </w:rPr>
        <w:t>pelo</w:t>
      </w:r>
      <w:proofErr w:type="spellEnd"/>
      <w:r w:rsidRPr="00E06CD2">
        <w:rPr>
          <w:rFonts w:eastAsia="Arial"/>
          <w:bCs/>
          <w:sz w:val="24"/>
          <w:szCs w:val="24"/>
          <w:lang w:val="en-US"/>
        </w:rPr>
        <w:t xml:space="preserve"> CNMP</w:t>
      </w: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CONTRATADA deverá prestar assessoria técnica e administrativa na correta ativação de todo o licenciamento incluindo a migração dos acessos do atual contrato de forma a evitar qualquer perda por parte dos usuários.</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 xml:space="preserve">As licenças do tipo perpétua devem possuir garantia de atualização - </w:t>
      </w:r>
      <w:r w:rsidRPr="00E06CD2">
        <w:rPr>
          <w:bCs/>
          <w:i/>
          <w:sz w:val="24"/>
          <w:szCs w:val="24"/>
        </w:rPr>
        <w:t xml:space="preserve">Software </w:t>
      </w:r>
      <w:proofErr w:type="spellStart"/>
      <w:r w:rsidRPr="00E06CD2">
        <w:rPr>
          <w:bCs/>
          <w:i/>
          <w:sz w:val="24"/>
          <w:szCs w:val="24"/>
        </w:rPr>
        <w:t>Assurance</w:t>
      </w:r>
      <w:proofErr w:type="spellEnd"/>
      <w:r w:rsidRPr="00E06CD2">
        <w:rPr>
          <w:bCs/>
          <w:sz w:val="24"/>
          <w:szCs w:val="24"/>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Os serviços de suporte técnico especializado serão demandados pelo CNMP, de acordo com as necessidades e priorizações do ambiente. Esses serviços incluem, pelo menos, mas não limitados a, instalação e customização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serão solicitados sob demanda por meio de ordem de serviço, a ser emitida pelo CNMP;</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deverão ser prestados localmente da sede do CNMP, salvo aprovação e autorização em contrário pelos fiscais do contrato, mediante justificativa a ser emitida pela CONTRATANTE;</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CNMP irá solicitar o serviço a ser executado, sempre que achar necessário, mediante a validação de escopo entre as partes;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escopo dos serviços deverá ser acordado entre o CNMP e a CONTRATADA por meio de reuniões para definição do escopo, de estimativa de esforço, cronograma e prazo para o início da execução da ordem de serviço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lastRenderedPageBreak/>
        <w:t>Não serão aceitos técnicos; que não tenham as certificações exigidas neste edital;</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Uma OS somente será autorizada após conferência e ateste do Gestor do Contrato;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Toda OS deverá ser assinada pelo Preposto da Empresa Contratada perante a órgão, declarando a concordância da Contratada em executar as atividades descritas na OS de acordo com as especificações estabelecidas;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Os serviços deverão estar sempre de acordo com as especificações constantes nas OS;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 controle da execução dos serviços se dará em 03 (três) momentos, a saber: no início da execução - quando a OS é emitida, durante a execução - com o acompanhamento e supervisão de responsáveis d</w:t>
      </w:r>
      <w:r w:rsidR="00CF4F3A">
        <w:rPr>
          <w:sz w:val="24"/>
          <w:szCs w:val="24"/>
        </w:rPr>
        <w:t>o Órgão</w:t>
      </w:r>
      <w:r w:rsidRPr="00E06CD2">
        <w:rPr>
          <w:sz w:val="24"/>
          <w:szCs w:val="24"/>
        </w:rPr>
        <w:t>, e ao término da execução - com o fornecimento dos respectivos relatórios pela Contratada e atesto dos mesmos pelos respectivos responsáveis</w:t>
      </w:r>
      <w:r w:rsidR="00CF4F3A">
        <w:rPr>
          <w:sz w:val="24"/>
          <w:szCs w:val="24"/>
        </w:rPr>
        <w:t xml:space="preserve"> do Órgão</w:t>
      </w:r>
      <w:r w:rsidRPr="00E06CD2">
        <w:rPr>
          <w:sz w:val="24"/>
          <w:szCs w:val="24"/>
        </w:rPr>
        <w:t>;</w:t>
      </w:r>
      <w:r w:rsidR="00CF4F3A">
        <w:rPr>
          <w:sz w:val="24"/>
          <w:szCs w:val="24"/>
        </w:rPr>
        <w:t xml:space="preserve"> </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Todos os serviços prestados pela Contratada deverão ser necessariamente documentados (passo-a-passo), registrados e entregues ao CNMP em forma digital complementarmente aos relatórios dos serviços;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Uma vez definido escopo, prazo e cronograma, o início da execução dos serviços deverá ocorrer na data e prazo previstos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 suporte técnico especializado serão mensurados por quantidade Unidade de Serviço Técnico – UST executadas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Caso o trabalho ultrapasse a quantidade de UST estimadas, o CNMP deverá ser informado imediatamente que deliberará sob a nova quantidade estimada.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pagamento sobre os serviços executados ocorrerá com base nas Unidades de Serviço Técnico (UST) realizadas e de acordo com a Ordem de Serviço aprovada pelo fiscal técnico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Unidade de Serviço Técnico (UST) corresponderá a 1 (uma) hora da execução de atividades de serviços de suporte técnico especializado, conforme requisitos descritos neste Termo de Referência;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lastRenderedPageBreak/>
        <w:t>O aceite e o posterior pagamento dos serviços não eximem a Licitante vencedora das responsabilidades pela correção de todos os defeitos, falhas e quaisquer outras irregularidades.</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Critérios de Sustentabilidade</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Não se aplica por se tratar de </w:t>
      </w:r>
      <w:r w:rsidRPr="00E06CD2">
        <w:rPr>
          <w:i/>
          <w:sz w:val="24"/>
          <w:szCs w:val="24"/>
        </w:rPr>
        <w:t xml:space="preserve">software </w:t>
      </w:r>
      <w:r w:rsidRPr="00E06CD2">
        <w:rPr>
          <w:sz w:val="24"/>
          <w:szCs w:val="24"/>
        </w:rPr>
        <w:t xml:space="preserve">e serviço. </w:t>
      </w: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Da Entrega</w:t>
      </w:r>
    </w:p>
    <w:p w:rsidR="00E06CD2" w:rsidRPr="00E06CD2" w:rsidRDefault="00E06CD2" w:rsidP="00E06CD2">
      <w:pPr>
        <w:pStyle w:val="Standarduser"/>
        <w:numPr>
          <w:ilvl w:val="1"/>
          <w:numId w:val="136"/>
        </w:numPr>
        <w:spacing w:before="100" w:line="276" w:lineRule="auto"/>
        <w:ind w:right="7"/>
        <w:jc w:val="both"/>
        <w:rPr>
          <w:sz w:val="24"/>
          <w:szCs w:val="24"/>
        </w:rPr>
      </w:pPr>
      <w:r w:rsidRPr="00E06CD2">
        <w:rPr>
          <w:rFonts w:eastAsia="Arial"/>
          <w:sz w:val="24"/>
          <w:szCs w:val="24"/>
        </w:rPr>
        <w:t xml:space="preserve"> </w:t>
      </w:r>
      <w:r w:rsidRPr="00E06CD2">
        <w:rPr>
          <w:sz w:val="24"/>
          <w:szCs w:val="24"/>
        </w:rPr>
        <w:t xml:space="preserve">Todos os acessos necessários a comprovação das subscrições e licenciamentos, acesso ao </w:t>
      </w:r>
      <w:r w:rsidRPr="00E06CD2">
        <w:rPr>
          <w:i/>
          <w:sz w:val="24"/>
          <w:szCs w:val="24"/>
        </w:rPr>
        <w:t xml:space="preserve">Software </w:t>
      </w:r>
      <w:proofErr w:type="spellStart"/>
      <w:r w:rsidRPr="00E06CD2">
        <w:rPr>
          <w:i/>
          <w:sz w:val="24"/>
          <w:szCs w:val="24"/>
        </w:rPr>
        <w:t>Assurance</w:t>
      </w:r>
      <w:proofErr w:type="spellEnd"/>
      <w:r w:rsidRPr="00E06CD2">
        <w:rPr>
          <w:sz w:val="24"/>
          <w:szCs w:val="24"/>
        </w:rPr>
        <w:t xml:space="preserve"> para abertura de chamados, bem como downloads dos softwares adquiridos, deverão ser fornecidos em até 15(quinze) dias corridos contados da ordem fornecimento, pela Internet, via </w:t>
      </w:r>
      <w:proofErr w:type="spellStart"/>
      <w:r w:rsidRPr="00E06CD2">
        <w:rPr>
          <w:sz w:val="24"/>
          <w:szCs w:val="24"/>
        </w:rPr>
        <w:t>email</w:t>
      </w:r>
      <w:proofErr w:type="spellEnd"/>
      <w:r w:rsidRPr="00E06CD2">
        <w:rPr>
          <w:sz w:val="24"/>
          <w:szCs w:val="24"/>
        </w:rPr>
        <w:t xml:space="preserve"> ou fisicamente em mídia própria.</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Recebimento</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se dará, provisoriamente, no prazo de até 10(dez) dias corridos após a disponibilização da licença no portal de licenciamento da Microsoft (</w:t>
      </w:r>
      <w:r w:rsidRPr="00E06CD2">
        <w:rPr>
          <w:rFonts w:cs="Times New Roman"/>
          <w:i/>
        </w:rPr>
        <w:t xml:space="preserve">Microsoft Volume </w:t>
      </w:r>
      <w:proofErr w:type="spellStart"/>
      <w:r w:rsidRPr="00E06CD2">
        <w:rPr>
          <w:rFonts w:cs="Times New Roman"/>
          <w:i/>
        </w:rPr>
        <w:t>Licensing</w:t>
      </w:r>
      <w:proofErr w:type="spellEnd"/>
      <w:r w:rsidRPr="00E06CD2">
        <w:rPr>
          <w:rFonts w:cs="Times New Roman"/>
          <w:i/>
        </w:rPr>
        <w:t xml:space="preserve"> Service Center </w:t>
      </w:r>
      <w:r w:rsidRPr="00E06CD2">
        <w:rPr>
          <w:rFonts w:cs="Times New Roman"/>
        </w:rPr>
        <w:t>– VLSC), para posterior verificação da conformidade da solução com as especificações contidas neste termo de referência;</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definitivo se dará no prazo de 10(dez) dias corridos contados do recebimento provisório;</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Pagamento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 pagamento das licenças será realizado em 3 (três) parcelas anuais, conforme disposto no contrato </w:t>
      </w:r>
      <w:proofErr w:type="gramStart"/>
      <w:r w:rsidRPr="00E06CD2">
        <w:rPr>
          <w:sz w:val="24"/>
          <w:szCs w:val="24"/>
        </w:rPr>
        <w:t>EA(</w:t>
      </w:r>
      <w:proofErr w:type="gramEnd"/>
      <w:r w:rsidRPr="00E06CD2">
        <w:rPr>
          <w:i/>
          <w:sz w:val="24"/>
          <w:szCs w:val="24"/>
        </w:rPr>
        <w:t xml:space="preserve">Enterprise </w:t>
      </w:r>
      <w:proofErr w:type="spellStart"/>
      <w:r w:rsidRPr="00E06CD2">
        <w:rPr>
          <w:i/>
          <w:sz w:val="24"/>
          <w:szCs w:val="24"/>
        </w:rPr>
        <w:t>Agreement</w:t>
      </w:r>
      <w:proofErr w:type="spellEnd"/>
      <w:r w:rsidRPr="00E06CD2">
        <w:rPr>
          <w:sz w:val="24"/>
          <w:szCs w:val="24"/>
        </w:rPr>
        <w:t>), condicionado ao recebimento definitivo e Nota Fiscal/Fatura por parte da CONTRATADA, de acordo com o seguinte cronograma: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1: Correspondente a 1/3 (um terço) do valor do contrato, será paga pela CONTRATANTE, em até 10 (dez) dias úteis após o recebimento da Nota Fiscal / Fatura emitida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2: Correspondente a 1/3 (um terço) do valor do contrato, será paga pela CONTRATANTE, em até 10 (dez) dias úteis após 1 (um) ano de assinatura do Contrato, mediante a apresentação de Nota Fiscal / Fatura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3: Correspondente a 1/3 (um terço) do valor do contrato, será paga pela CONTRATANTE, em até 10 (dez) dias úteis após 2 (dois) anos de assinatura do Contrato, mediante a apresentação de Nota Fiscal / Fatura pela CONTRATADA;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valores das Notas Fiscais da segunda e terceira parcela deverão ser ajustados para mais ou para menos para refletir a quantidade de licenças realmente em uso pelo órgão, conforme </w:t>
      </w:r>
      <w:r w:rsidRPr="00E06CD2">
        <w:rPr>
          <w:sz w:val="24"/>
          <w:szCs w:val="24"/>
        </w:rPr>
        <w:lastRenderedPageBreak/>
        <w:t xml:space="preserve">previsto no contrato EA (Enterprise </w:t>
      </w:r>
      <w:proofErr w:type="spellStart"/>
      <w:r w:rsidRPr="00E06CD2">
        <w:rPr>
          <w:sz w:val="24"/>
          <w:szCs w:val="24"/>
        </w:rPr>
        <w:t>Agreement</w:t>
      </w:r>
      <w:proofErr w:type="spellEnd"/>
      <w:r w:rsidRPr="00E06CD2">
        <w:rPr>
          <w:sz w:val="24"/>
          <w:szCs w:val="24"/>
        </w:rPr>
        <w:t>), conforme regras de adequação de licenciamento estipuladas na seção Descrição do Objeto deste Termo de Referência.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o efetivo pagamento, todas as subscrições deverão ser disponibilizadas no portal de licenciamento da Microsoft (</w:t>
      </w:r>
      <w:r w:rsidRPr="00E06CD2">
        <w:rPr>
          <w:i/>
          <w:sz w:val="24"/>
          <w:szCs w:val="24"/>
        </w:rPr>
        <w:t xml:space="preserve">Microsoft Volume </w:t>
      </w:r>
      <w:proofErr w:type="spellStart"/>
      <w:r w:rsidRPr="00E06CD2">
        <w:rPr>
          <w:i/>
          <w:sz w:val="24"/>
          <w:szCs w:val="24"/>
        </w:rPr>
        <w:t>Licensing</w:t>
      </w:r>
      <w:proofErr w:type="spellEnd"/>
      <w:r w:rsidRPr="00E06CD2">
        <w:rPr>
          <w:i/>
          <w:sz w:val="24"/>
          <w:szCs w:val="24"/>
        </w:rPr>
        <w:t xml:space="preserve"> Service Center</w:t>
      </w:r>
      <w:r w:rsidRPr="00E06CD2">
        <w:rPr>
          <w:sz w:val="24"/>
          <w:szCs w:val="24"/>
        </w:rPr>
        <w:t xml:space="preserve"> – VLSC), disponível no endereço </w:t>
      </w:r>
      <w:proofErr w:type="gramStart"/>
      <w:r w:rsidRPr="00E06CD2">
        <w:rPr>
          <w:sz w:val="24"/>
          <w:szCs w:val="24"/>
        </w:rPr>
        <w:t>https://www.microsoft.com/Licensing/servicecenter .</w:t>
      </w:r>
      <w:proofErr w:type="gramEnd"/>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 xml:space="preserve"> As subscrições deverão estar devidamente configuradas para serem administradas pelas contas do CNMP, já existente no VLSC.</w:t>
      </w:r>
    </w:p>
    <w:p w:rsidR="00E06CD2" w:rsidRPr="00E06CD2" w:rsidRDefault="00E06CD2" w:rsidP="00E06CD2">
      <w:pPr>
        <w:pStyle w:val="Standarduser"/>
        <w:numPr>
          <w:ilvl w:val="1"/>
          <w:numId w:val="136"/>
        </w:numPr>
        <w:spacing w:before="100" w:after="119" w:line="276" w:lineRule="auto"/>
        <w:jc w:val="both"/>
        <w:rPr>
          <w:rStyle w:val="Fontepargpadro1"/>
          <w:sz w:val="24"/>
          <w:szCs w:val="24"/>
        </w:rPr>
      </w:pPr>
      <w:r w:rsidRPr="00E06CD2">
        <w:rPr>
          <w:sz w:val="24"/>
          <w:szCs w:val="24"/>
        </w:rPr>
        <w:t xml:space="preserve">O pagamento do </w:t>
      </w:r>
      <w:proofErr w:type="spellStart"/>
      <w:r w:rsidRPr="00E06CD2">
        <w:rPr>
          <w:rStyle w:val="Fontepargpadro1"/>
          <w:sz w:val="24"/>
          <w:szCs w:val="24"/>
          <w:lang w:val="en-US"/>
        </w:rPr>
        <w:t>Serviço</w:t>
      </w:r>
      <w:proofErr w:type="spellEnd"/>
      <w:r w:rsidRPr="00E06CD2">
        <w:rPr>
          <w:rStyle w:val="Fontepargpadro1"/>
          <w:sz w:val="24"/>
          <w:szCs w:val="24"/>
          <w:lang w:val="en-US"/>
        </w:rPr>
        <w:t xml:space="preserve"> Técnico </w:t>
      </w:r>
      <w:proofErr w:type="spellStart"/>
      <w:r w:rsidRPr="00E06CD2">
        <w:rPr>
          <w:rStyle w:val="Fontepargpadro1"/>
          <w:sz w:val="24"/>
          <w:szCs w:val="24"/>
          <w:lang w:val="en-US"/>
        </w:rPr>
        <w:t>Especializado</w:t>
      </w:r>
      <w:proofErr w:type="spellEnd"/>
      <w:r w:rsidRPr="00E06CD2">
        <w:rPr>
          <w:rStyle w:val="Fontepargpadro1"/>
          <w:sz w:val="24"/>
          <w:szCs w:val="24"/>
          <w:lang w:val="en-US"/>
        </w:rPr>
        <w:t xml:space="preserve">, </w:t>
      </w:r>
      <w:r w:rsidRPr="00E06CD2">
        <w:rPr>
          <w:color w:val="000000"/>
          <w:sz w:val="24"/>
          <w:szCs w:val="24"/>
        </w:rPr>
        <w:t>serão em parcelas mensais, de acordo com os valores apresentados em Nota Fiscal da licitante vencedora, com base serviços executados, mensurados em Unidades de Serviço Técnico (UST) e de acordo com as Ordens de Serviço aprovadas pelos fiscais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pagamentos serão feitos por meio de depósito na </w:t>
      </w:r>
      <w:proofErr w:type="spellStart"/>
      <w:r w:rsidRPr="00E06CD2">
        <w:rPr>
          <w:sz w:val="24"/>
          <w:szCs w:val="24"/>
        </w:rPr>
        <w:t>conta-corrente</w:t>
      </w:r>
      <w:proofErr w:type="spellEnd"/>
      <w:r w:rsidRPr="00E06CD2">
        <w:rPr>
          <w:sz w:val="24"/>
          <w:szCs w:val="24"/>
        </w:rPr>
        <w:t xml:space="preserve"> da CONTRATADA, através de Ordem Bancária, mediante apresentação da respectiva Nota Fiscal do fornecimento;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Sobre o valor da nota fiscal, a CONTRATANTE fará as retenções devidas ao INSS e as dos impostos e contribuições previstas na Instrução Normativa SRF nº 1.234, de 11/01/2012;</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ainda, juntamente a Nota Fiscal/Fatura, apresentar os documentos comprobatórios de regularidade fiscal e trabalhista, exigidos no Edital de Licitação;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Ao CONTRATANTE fica reservado o direito de não efetuar o pagamento se, no momento da aceitação, os serviços prestados não estiverem em perfeitas condições e em conformidade com as especificações estipuladas.</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lastRenderedPageBreak/>
        <w:t>VIGÊNCIA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Fonts w:eastAsia="Arial"/>
          <w:sz w:val="24"/>
          <w:szCs w:val="24"/>
        </w:rPr>
        <w:t xml:space="preserve">O contrato terá vigência de 36 (trinta e seis) meses, não cabendo prorrogação por impossibilidade perante o modelo </w:t>
      </w:r>
      <w:r w:rsidRPr="00E06CD2">
        <w:rPr>
          <w:rFonts w:eastAsia="Arial"/>
          <w:i/>
          <w:sz w:val="24"/>
          <w:szCs w:val="24"/>
        </w:rPr>
        <w:t xml:space="preserve">Enterprise </w:t>
      </w:r>
      <w:proofErr w:type="spellStart"/>
      <w:r w:rsidRPr="00E06CD2">
        <w:rPr>
          <w:rFonts w:eastAsia="Arial"/>
          <w:i/>
          <w:sz w:val="24"/>
          <w:szCs w:val="24"/>
        </w:rPr>
        <w:t>Agreement</w:t>
      </w:r>
      <w:proofErr w:type="spellEnd"/>
      <w:r w:rsidRPr="00E06CD2">
        <w:rPr>
          <w:rFonts w:eastAsia="Arial"/>
          <w:sz w:val="24"/>
          <w:szCs w:val="24"/>
        </w:rPr>
        <w:t>;</w:t>
      </w:r>
    </w:p>
    <w:p w:rsidR="00E06CD2" w:rsidRPr="00E06CD2" w:rsidRDefault="00E06CD2" w:rsidP="00E06CD2">
      <w:pPr>
        <w:pStyle w:val="Standarduser"/>
        <w:spacing w:before="100" w:after="119" w:line="276" w:lineRule="auto"/>
        <w:ind w:left="792"/>
        <w:jc w:val="both"/>
        <w:rPr>
          <w:rStyle w:val="Fontepargpadro1"/>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t>SIGILO E INVIOLABILIDADE</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rsidR="00E06CD2" w:rsidRPr="00E06CD2" w:rsidRDefault="00E06CD2" w:rsidP="00E06CD2">
      <w:pPr>
        <w:pStyle w:val="Standarduser"/>
        <w:spacing w:before="100" w:after="119" w:line="276" w:lineRule="auto"/>
        <w:ind w:left="792" w:right="7"/>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DAS SANÇÕES/PENALIDADES</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E06CD2" w:rsidRPr="00E06CD2" w:rsidRDefault="00E06CD2" w:rsidP="00E06CD2">
      <w:pPr>
        <w:pStyle w:val="Standarduser"/>
        <w:numPr>
          <w:ilvl w:val="2"/>
          <w:numId w:val="136"/>
        </w:numPr>
        <w:spacing w:before="100" w:after="119" w:line="276" w:lineRule="auto"/>
        <w:rPr>
          <w:b/>
          <w:sz w:val="24"/>
          <w:szCs w:val="24"/>
        </w:rPr>
      </w:pPr>
      <w:r w:rsidRPr="00E06CD2">
        <w:rPr>
          <w:b/>
          <w:sz w:val="24"/>
          <w:szCs w:val="24"/>
        </w:rPr>
        <w:t>Advertência</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Que não causem prejuízo à Administração;</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lastRenderedPageBreak/>
        <w:t>A CONTRATADA após a notificação, diligência para resolver o problema, fornece o produto ou executa o serviço; e</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Nas hipóteses que há elementos que sugerem que a CONTRATADA corrigirá seu procedimento.</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western"/>
        <w:numPr>
          <w:ilvl w:val="2"/>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b/>
          <w:bCs/>
          <w:sz w:val="24"/>
          <w:szCs w:val="24"/>
        </w:rPr>
        <w:t>Multa,</w:t>
      </w:r>
      <w:r w:rsidRPr="00E06CD2">
        <w:rPr>
          <w:rStyle w:val="Fontepargpadro1"/>
          <w:rFonts w:ascii="Times New Roman" w:hAnsi="Times New Roman" w:cs="Times New Roman"/>
          <w:sz w:val="24"/>
          <w:szCs w:val="24"/>
        </w:rPr>
        <w:t xml:space="preserve"> nas seguintes hipóteses:</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Multa moratória de 0,5% sobre o valor total da contratação, por dia de atraso injustificado na entrega do licenciamento, de produtos, de acesso ao suporte, de acesso aos serviços online, da execução dos serviços técnicos especializados, bem como outras hipóteses que influenciem na disponibilidade e acessibilidade dos serviços em produção, ou outras previstas nesta seção, limitada sua aplicação até o máximo de 10 dias, situação que poderá caracterizar inexecução parcial do contrato</w:t>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parcial do objeto contratado, será aplicada multa de até 20% do valor global do contrato</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r w:rsidRPr="00E06CD2">
        <w:rPr>
          <w:rStyle w:val="Fontepargpadro1"/>
          <w:rFonts w:ascii="Times New Roman" w:hAnsi="Times New Roman" w:cs="Times New Roman"/>
          <w:sz w:val="24"/>
          <w:szCs w:val="24"/>
        </w:rPr>
        <w:tab/>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total do objeto contratado, será aplicada multa de até 30% do valor global do contrato</w:t>
      </w:r>
    </w:p>
    <w:p w:rsidR="00E06CD2" w:rsidRPr="00E06CD2" w:rsidRDefault="00E06CD2" w:rsidP="00E06CD2">
      <w:pPr>
        <w:pStyle w:val="PargrafodaLista"/>
        <w:numPr>
          <w:ilvl w:val="3"/>
          <w:numId w:val="136"/>
        </w:numPr>
        <w:tabs>
          <w:tab w:val="left" w:pos="708"/>
          <w:tab w:val="left" w:pos="902"/>
          <w:tab w:val="left" w:pos="1243"/>
          <w:tab w:val="left" w:pos="3409"/>
          <w:tab w:val="left" w:pos="3761"/>
        </w:tabs>
        <w:autoSpaceDN/>
        <w:ind w:right="6"/>
        <w:jc w:val="both"/>
        <w:textAlignment w:val="auto"/>
        <w:rPr>
          <w:rFonts w:cs="Times New Roman"/>
          <w:color w:val="00000A"/>
          <w:sz w:val="24"/>
          <w:szCs w:val="24"/>
        </w:rPr>
      </w:pPr>
      <w:r w:rsidRPr="00E06CD2">
        <w:rPr>
          <w:rFonts w:cs="Times New Roman"/>
          <w:color w:val="00000A"/>
          <w:sz w:val="24"/>
          <w:szCs w:val="24"/>
        </w:rPr>
        <w:t>Todas as ocorrências contratuais serão registradas pelo CONTRANTE, que notificará a CONTRATADA dos registros. Serão atribuídos níveis para as ocorrências, conforme ofensividade, conforme tabelas abaixo:</w:t>
      </w:r>
    </w:p>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sz w:val="24"/>
          <w:szCs w:val="24"/>
        </w:rPr>
      </w:pPr>
    </w:p>
    <w:p w:rsidR="00E06CD2" w:rsidRPr="00E06CD2" w:rsidRDefault="00E06CD2" w:rsidP="00E06CD2">
      <w:pPr>
        <w:pStyle w:val="PargrafodaLista"/>
        <w:ind w:left="792"/>
        <w:rPr>
          <w:rFonts w:eastAsia="TTE4D8A148t00" w:cs="Times New Roman"/>
          <w:b/>
          <w:bCs/>
          <w:color w:val="00000A"/>
          <w:sz w:val="24"/>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E06CD2" w:rsidRPr="00E06CD2" w:rsidTr="00E06CD2">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INFRAÇÃO</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shd w:val="clear" w:color="auto" w:fill="808080"/>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Item</w:t>
            </w:r>
          </w:p>
        </w:tc>
        <w:tc>
          <w:tcPr>
            <w:tcW w:w="7653"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Nível</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R</w:t>
            </w:r>
            <w:r w:rsidRPr="00E06CD2">
              <w:rPr>
                <w:rStyle w:val="Fontepargpadro1"/>
                <w:rFonts w:eastAsia="Lucida Sans Unicode"/>
                <w:color w:val="000000"/>
                <w:sz w:val="24"/>
                <w:szCs w:val="24"/>
                <w:lang w:bidi="hi-IN"/>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592"/>
                <w:tab w:val="left" w:pos="2151"/>
              </w:tabs>
              <w:suppressAutoHyphens w:val="0"/>
              <w:spacing w:before="100" w:after="57" w:line="276" w:lineRule="auto"/>
              <w:ind w:left="83" w:hanging="360"/>
              <w:jc w:val="both"/>
              <w:rPr>
                <w:sz w:val="24"/>
                <w:szCs w:val="24"/>
                <w:lang w:bidi="hi-IN"/>
              </w:rPr>
            </w:pPr>
            <w:proofErr w:type="gramStart"/>
            <w:r w:rsidRPr="00E06CD2">
              <w:rPr>
                <w:rStyle w:val="Fontepargpadro1"/>
                <w:rFonts w:eastAsia="ZurichBT-Light"/>
                <w:color w:val="000000"/>
                <w:sz w:val="24"/>
                <w:szCs w:val="24"/>
                <w:lang w:bidi="hi-IN"/>
              </w:rPr>
              <w:t>D  Deixar</w:t>
            </w:r>
            <w:proofErr w:type="gramEnd"/>
            <w:r w:rsidRPr="00E06CD2">
              <w:rPr>
                <w:rStyle w:val="Fontepargpadro1"/>
                <w:rFonts w:eastAsia="ZurichBT-Light"/>
                <w:color w:val="000000"/>
                <w:sz w:val="24"/>
                <w:szCs w:val="24"/>
                <w:lang w:bidi="hi-IN"/>
              </w:rPr>
              <w:t xml:space="preserve"> de m</w:t>
            </w:r>
            <w:r w:rsidRPr="00E06CD2">
              <w:rPr>
                <w:rStyle w:val="Fontepargpadro1"/>
                <w:rFonts w:eastAsia="Lucida Sans Unicode"/>
                <w:sz w:val="24"/>
                <w:szCs w:val="24"/>
                <w:lang w:bidi="hi-IN"/>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s>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d</w:t>
            </w:r>
            <w:r w:rsidRPr="00E06CD2">
              <w:rPr>
                <w:rStyle w:val="Fontepargpadro1"/>
                <w:rFonts w:eastAsia="Lucida Sans Unicode"/>
                <w:sz w:val="24"/>
                <w:szCs w:val="24"/>
                <w:lang w:bidi="hi-IN"/>
              </w:rPr>
              <w:t xml:space="preserve">isponibilizar e manter atualizados conta de </w:t>
            </w:r>
            <w:r w:rsidRPr="00E06CD2">
              <w:rPr>
                <w:rStyle w:val="Fontepargpadro1"/>
                <w:rFonts w:eastAsia="Lucida Sans Unicode"/>
                <w:i/>
                <w:sz w:val="24"/>
                <w:szCs w:val="24"/>
                <w:lang w:bidi="hi-IN"/>
              </w:rPr>
              <w:t xml:space="preserve">e-mail, </w:t>
            </w:r>
            <w:r w:rsidRPr="00E06CD2">
              <w:rPr>
                <w:rStyle w:val="Fontepargpadro1"/>
                <w:rFonts w:eastAsia="Lucida Sans Unicode"/>
                <w:sz w:val="24"/>
                <w:szCs w:val="24"/>
                <w:lang w:bidi="hi-IN"/>
              </w:rPr>
              <w:t>endereço e telefones comerciais</w:t>
            </w:r>
            <w:r w:rsidRPr="00E06CD2">
              <w:rPr>
                <w:rStyle w:val="Fontepargpadro1"/>
                <w:rFonts w:eastAsia="Lucida Sans Unicode"/>
                <w:i/>
                <w:sz w:val="24"/>
                <w:szCs w:val="24"/>
                <w:lang w:bidi="hi-IN"/>
              </w:rPr>
              <w:t xml:space="preserve"> </w:t>
            </w:r>
            <w:r w:rsidRPr="00E06CD2">
              <w:rPr>
                <w:rStyle w:val="Fontepargpadro1"/>
                <w:rFonts w:eastAsia="Lucida Sans Unicode"/>
                <w:sz w:val="24"/>
                <w:szCs w:val="24"/>
                <w:lang w:bidi="hi-IN"/>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2</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374"/>
              </w:tabs>
              <w:suppressAutoHyphens w:val="0"/>
              <w:spacing w:before="100" w:after="57" w:line="276" w:lineRule="auto"/>
              <w:ind w:left="45"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rFonts w:eastAsia="ZurichBT-Light"/>
                <w:color w:val="000000"/>
                <w:sz w:val="24"/>
                <w:szCs w:val="24"/>
                <w:lang w:bidi="hi-IN"/>
              </w:rPr>
            </w:pPr>
            <w:r w:rsidRPr="00E06CD2">
              <w:rPr>
                <w:rFonts w:eastAsia="ZurichBT-Light"/>
                <w:color w:val="000000"/>
                <w:sz w:val="24"/>
                <w:szCs w:val="24"/>
                <w:lang w:bidi="hi-IN"/>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14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resguardar que seus funcionários cumpram as normas internas do CONTRATANTE e i</w:t>
            </w:r>
            <w:r w:rsidRPr="00E06CD2">
              <w:rPr>
                <w:rStyle w:val="Fontepargpadro1"/>
                <w:rFonts w:eastAsia="Lucida Sans Unicode"/>
                <w:color w:val="000000"/>
                <w:sz w:val="24"/>
                <w:szCs w:val="24"/>
                <w:lang w:bidi="hi-IN"/>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Fonts w:eastAsia="Arial"/>
                <w:color w:val="000000"/>
                <w:sz w:val="24"/>
                <w:szCs w:val="24"/>
                <w:lang w:bidi="hi-IN"/>
              </w:rPr>
              <w:t xml:space="preserve">     </w:t>
            </w:r>
            <w:r w:rsidRPr="00E06CD2">
              <w:rPr>
                <w:rFonts w:eastAsia="ZurichBT-Light"/>
                <w:color w:val="000000"/>
                <w:sz w:val="24"/>
                <w:szCs w:val="24"/>
                <w:lang w:bidi="hi-IN"/>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 xml:space="preserve">Descumprir as exigências de atendimento de suporte técnico contidas no Software </w:t>
            </w:r>
            <w:proofErr w:type="spellStart"/>
            <w:r w:rsidRPr="00E06CD2">
              <w:rPr>
                <w:rFonts w:eastAsia="Lucida Sans Unicode"/>
                <w:color w:val="000000"/>
                <w:sz w:val="24"/>
                <w:szCs w:val="24"/>
                <w:lang w:bidi="hi-IN"/>
              </w:rPr>
              <w:t>Assurance</w:t>
            </w:r>
            <w:proofErr w:type="spellEnd"/>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spacing w:before="100" w:after="57" w:line="276" w:lineRule="auto"/>
              <w:jc w:val="center"/>
              <w:rPr>
                <w:sz w:val="24"/>
                <w:szCs w:val="24"/>
                <w:lang w:bidi="hi-IN"/>
              </w:rPr>
            </w:pPr>
          </w:p>
        </w:tc>
      </w:tr>
    </w:tbl>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E06CD2">
        <w:rPr>
          <w:rFonts w:eastAsia="TTE4D8A148t00"/>
          <w:bCs/>
          <w:color w:val="000000"/>
          <w:sz w:val="24"/>
          <w:szCs w:val="24"/>
        </w:rPr>
        <w:t>Tabela 3: Infrações e correspondentes níveis</w:t>
      </w: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tabs>
          <w:tab w:val="left" w:pos="438"/>
          <w:tab w:val="left" w:pos="1477"/>
        </w:tabs>
        <w:spacing w:after="0" w:line="276" w:lineRule="auto"/>
        <w:jc w:val="both"/>
        <w:rPr>
          <w:rFonts w:ascii="Times New Roman" w:eastAsia="Times New Roman" w:hAnsi="Times New Roman" w:cs="Times New Roman"/>
          <w:color w:val="00000A"/>
          <w:sz w:val="24"/>
          <w:szCs w:val="24"/>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E06CD2" w:rsidRPr="00E06CD2" w:rsidTr="00E06CD2">
        <w:tc>
          <w:tcPr>
            <w:tcW w:w="2484" w:type="dxa"/>
            <w:tcBorders>
              <w:top w:val="single" w:sz="2" w:space="0" w:color="000001"/>
              <w:left w:val="single" w:sz="2" w:space="0" w:color="000001"/>
              <w:bottom w:val="single" w:sz="2" w:space="0" w:color="000001"/>
              <w:right w:val="nil"/>
            </w:tcBorders>
            <w:shd w:val="clear" w:color="auto" w:fill="999999"/>
            <w:hideMark/>
          </w:tcPr>
          <w:p w:rsidR="00E06CD2" w:rsidRPr="00E06CD2" w:rsidRDefault="00E06CD2">
            <w:pPr>
              <w:pStyle w:val="Standarduser"/>
              <w:spacing w:before="100" w:after="57" w:line="276" w:lineRule="auto"/>
              <w:jc w:val="both"/>
              <w:rPr>
                <w:b/>
                <w:bCs/>
                <w:sz w:val="24"/>
                <w:szCs w:val="24"/>
                <w:lang w:bidi="hi-IN"/>
              </w:rPr>
            </w:pPr>
            <w:r w:rsidRPr="00E06CD2">
              <w:rPr>
                <w:b/>
                <w:bCs/>
                <w:sz w:val="24"/>
                <w:szCs w:val="24"/>
                <w:lang w:bidi="hi-IN"/>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b/>
                <w:bCs/>
                <w:sz w:val="24"/>
                <w:szCs w:val="24"/>
                <w:lang w:bidi="hi-IN"/>
              </w:rPr>
            </w:pPr>
            <w:r w:rsidRPr="00E06CD2">
              <w:rPr>
                <w:b/>
                <w:bCs/>
                <w:sz w:val="24"/>
                <w:szCs w:val="24"/>
                <w:lang w:bidi="hi-IN"/>
              </w:rPr>
              <w:t>CORRESPONDÊNCIA</w:t>
            </w:r>
          </w:p>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 xml:space="preserve">(percentual da </w:t>
            </w:r>
            <w:proofErr w:type="spellStart"/>
            <w:proofErr w:type="gramStart"/>
            <w:r w:rsidRPr="00E06CD2">
              <w:rPr>
                <w:sz w:val="24"/>
                <w:szCs w:val="24"/>
                <w:lang w:bidi="hi-IN"/>
              </w:rPr>
              <w:t>multa,por</w:t>
            </w:r>
            <w:proofErr w:type="spellEnd"/>
            <w:proofErr w:type="gramEnd"/>
            <w:r w:rsidRPr="00E06CD2">
              <w:rPr>
                <w:sz w:val="24"/>
                <w:szCs w:val="24"/>
                <w:lang w:bidi="hi-IN"/>
              </w:rPr>
              <w:t xml:space="preserve"> ocorrência, sobre o valor global da contratação)</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ind w:left="170" w:right="7" w:hanging="340"/>
              <w:jc w:val="both"/>
              <w:rPr>
                <w:sz w:val="24"/>
                <w:szCs w:val="24"/>
                <w:lang w:bidi="hi-IN"/>
              </w:rPr>
            </w:pPr>
            <w:r w:rsidRPr="00E06CD2">
              <w:rPr>
                <w:sz w:val="24"/>
                <w:szCs w:val="24"/>
                <w:lang w:bidi="hi-IN"/>
              </w:rPr>
              <w:t>1 1 (menor ofensividade)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2 (leve)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0,8%.</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3 (médio)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lastRenderedPageBreak/>
              <w:t>4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5,0%.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5 (muito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7,0%.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6 (gravíssimo)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10%.</w:t>
            </w:r>
          </w:p>
        </w:tc>
      </w:tr>
    </w:tbl>
    <w:p w:rsidR="00E06CD2" w:rsidRPr="00E06CD2" w:rsidRDefault="00E06CD2" w:rsidP="00E06CD2">
      <w:pPr>
        <w:pStyle w:val="western"/>
        <w:tabs>
          <w:tab w:val="left" w:pos="438"/>
          <w:tab w:val="left" w:pos="1477"/>
        </w:tabs>
        <w:spacing w:after="0" w:line="276" w:lineRule="auto"/>
        <w:jc w:val="center"/>
        <w:rPr>
          <w:rFonts w:ascii="Times New Roman" w:eastAsia="Times New Roman" w:hAnsi="Times New Roman" w:cs="Times New Roman"/>
          <w:sz w:val="24"/>
          <w:szCs w:val="24"/>
          <w:lang w:eastAsia="zh-CN"/>
        </w:rPr>
      </w:pPr>
      <w:r w:rsidRPr="00E06CD2">
        <w:rPr>
          <w:rFonts w:ascii="Times New Roman" w:hAnsi="Times New Roman" w:cs="Times New Roman"/>
          <w:sz w:val="24"/>
          <w:szCs w:val="24"/>
        </w:rPr>
        <w:t>Tabela 4: Classificação das infrações e multas</w:t>
      </w:r>
    </w:p>
    <w:p w:rsidR="00E06CD2" w:rsidRPr="00E06CD2" w:rsidRDefault="00E06CD2" w:rsidP="00E06CD2">
      <w:pPr>
        <w:rPr>
          <w:rFonts w:eastAsia="TTE4D8A148t00" w:cs="Times New Roman"/>
          <w:bCs/>
          <w:color w:val="00000A"/>
        </w:rPr>
      </w:pP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numPr>
          <w:ilvl w:val="3"/>
          <w:numId w:val="136"/>
        </w:numPr>
        <w:tabs>
          <w:tab w:val="left" w:pos="-2448"/>
        </w:tabs>
        <w:suppressAutoHyphens w:val="0"/>
        <w:autoSpaceDN/>
        <w:spacing w:before="100" w:after="0" w:line="276" w:lineRule="auto"/>
        <w:jc w:val="both"/>
        <w:textAlignment w:val="auto"/>
        <w:rPr>
          <w:rFonts w:ascii="Times New Roman" w:eastAsia="Times New Roman" w:hAnsi="Times New Roman" w:cs="Times New Roman"/>
          <w:color w:val="00000A"/>
          <w:sz w:val="24"/>
          <w:szCs w:val="24"/>
        </w:rPr>
      </w:pPr>
      <w:r w:rsidRPr="00E06CD2">
        <w:rPr>
          <w:rStyle w:val="Fontepargpadro1"/>
          <w:rFonts w:ascii="Times New Roman" w:eastAsia="TTE4D8A148t00" w:hAnsi="Times New Roman" w:cs="Times New Roman"/>
          <w:color w:val="000000"/>
          <w:sz w:val="24"/>
          <w:szCs w:val="24"/>
        </w:rPr>
        <w:t>Em caso de registro de infração na qual a CONTRATADA apresente justificativa razoável e aceita pelo fiscal do contrato, o nível da infração poderá ser desconsiderado ou inserido em uma categoria de menor gravidade.</w:t>
      </w:r>
    </w:p>
    <w:p w:rsidR="00E06CD2" w:rsidRPr="00E06CD2" w:rsidRDefault="00E06CD2" w:rsidP="00E06CD2">
      <w:pPr>
        <w:pStyle w:val="Standarduser"/>
        <w:tabs>
          <w:tab w:val="left" w:pos="70"/>
        </w:tabs>
        <w:snapToGrid w:val="0"/>
        <w:spacing w:before="100" w:after="57" w:line="276" w:lineRule="auto"/>
        <w:jc w:val="center"/>
        <w:rPr>
          <w:rFonts w:eastAsia="Lucida Sans Unicode"/>
          <w:bCs/>
          <w:sz w:val="24"/>
          <w:szCs w:val="24"/>
          <w:lang w:eastAsia="en-US"/>
        </w:rPr>
      </w:pPr>
    </w:p>
    <w:p w:rsidR="00E06CD2" w:rsidRPr="00E06CD2" w:rsidRDefault="00E06CD2" w:rsidP="00E06CD2">
      <w:pPr>
        <w:pStyle w:val="western"/>
        <w:numPr>
          <w:ilvl w:val="1"/>
          <w:numId w:val="136"/>
        </w:numPr>
        <w:tabs>
          <w:tab w:val="left" w:pos="-1146"/>
        </w:tabs>
        <w:suppressAutoHyphens w:val="0"/>
        <w:autoSpaceDN/>
        <w:spacing w:before="100" w:after="0" w:line="276" w:lineRule="auto"/>
        <w:jc w:val="both"/>
        <w:textAlignment w:val="auto"/>
        <w:rPr>
          <w:rFonts w:ascii="Times New Roman" w:eastAsia="Times New Roman" w:hAnsi="Times New Roman" w:cs="Times New Roman"/>
          <w:sz w:val="24"/>
          <w:szCs w:val="24"/>
          <w:lang w:eastAsia="zh-CN"/>
        </w:rPr>
      </w:pPr>
      <w:r w:rsidRPr="00E06CD2">
        <w:rPr>
          <w:rFonts w:ascii="Times New Roman" w:eastAsia="TTE4D8A148t00" w:hAnsi="Times New Roman" w:cs="Times New Roman"/>
          <w:b/>
          <w:color w:val="000000"/>
          <w:sz w:val="24"/>
          <w:szCs w:val="24"/>
        </w:rPr>
        <w:t>A inexecução parcial ou total do contrato</w:t>
      </w:r>
      <w:r w:rsidRPr="00E06CD2">
        <w:rPr>
          <w:rFonts w:ascii="Times New Roman" w:eastAsia="TTE4D8A148t00" w:hAnsi="Times New Roman" w:cs="Times New Roman"/>
          <w:color w:val="000000"/>
          <w:sz w:val="24"/>
          <w:szCs w:val="24"/>
        </w:rPr>
        <w:t xml:space="preserve"> será configurada, entre outras hipóteses, na ocorrência de, pelo menos, uma das seguintes situações:</w:t>
      </w:r>
    </w:p>
    <w:p w:rsidR="00E06CD2" w:rsidRPr="00E06CD2" w:rsidRDefault="00E06CD2" w:rsidP="00E06CD2">
      <w:pPr>
        <w:pStyle w:val="western"/>
        <w:tabs>
          <w:tab w:val="left" w:pos="438"/>
        </w:tabs>
        <w:spacing w:after="0" w:line="276" w:lineRule="auto"/>
        <w:jc w:val="both"/>
        <w:rPr>
          <w:rFonts w:ascii="Times New Roman" w:eastAsia="TTE4D8A148t00" w:hAnsi="Times New Roman" w:cs="Times New Roman"/>
          <w:color w:val="000000"/>
          <w:sz w:val="24"/>
          <w:szCs w:val="24"/>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E06CD2" w:rsidRPr="00E06CD2" w:rsidTr="00E06CD2">
        <w:trPr>
          <w:cantSplit/>
          <w:trHeight w:val="356"/>
        </w:trPr>
        <w:tc>
          <w:tcPr>
            <w:tcW w:w="2094" w:type="dxa"/>
            <w:vMerge w:val="restart"/>
            <w:tcBorders>
              <w:top w:val="single" w:sz="2" w:space="0" w:color="000001"/>
              <w:left w:val="single" w:sz="2" w:space="0" w:color="000001"/>
              <w:bottom w:val="single" w:sz="2" w:space="0" w:color="000001"/>
              <w:right w:val="nil"/>
            </w:tcBorders>
            <w:shd w:val="clear" w:color="auto" w:fill="999999"/>
          </w:tcPr>
          <w:p w:rsidR="00E06CD2" w:rsidRPr="00E06CD2" w:rsidRDefault="00E06CD2">
            <w:pPr>
              <w:pStyle w:val="Standarduser"/>
              <w:snapToGrid w:val="0"/>
              <w:spacing w:before="100" w:after="57" w:line="276" w:lineRule="auto"/>
              <w:jc w:val="center"/>
              <w:rPr>
                <w:rFonts w:eastAsia="TTE4D8A148t00"/>
                <w:b/>
                <w:bCs/>
                <w:sz w:val="24"/>
                <w:szCs w:val="24"/>
                <w:lang w:bidi="hi-IN"/>
              </w:rPr>
            </w:pPr>
          </w:p>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QUANTIDADE DE INFRAÇÕES</w:t>
            </w:r>
          </w:p>
        </w:tc>
      </w:tr>
      <w:tr w:rsidR="00E06CD2" w:rsidRPr="00E06CD2" w:rsidTr="00E06CD2">
        <w:trPr>
          <w:cantSplit/>
          <w:trHeight w:val="350"/>
        </w:trPr>
        <w:tc>
          <w:tcPr>
            <w:tcW w:w="0" w:type="auto"/>
            <w:vMerge/>
            <w:tcBorders>
              <w:top w:val="single" w:sz="2" w:space="0" w:color="000001"/>
              <w:left w:val="single" w:sz="2" w:space="0" w:color="000001"/>
              <w:bottom w:val="single" w:sz="2" w:space="0" w:color="000001"/>
              <w:right w:val="nil"/>
            </w:tcBorders>
            <w:vAlign w:val="center"/>
            <w:hideMark/>
          </w:tcPr>
          <w:p w:rsidR="00E06CD2" w:rsidRPr="00E06CD2" w:rsidRDefault="00E06CD2">
            <w:pPr>
              <w:widowControl/>
              <w:suppressAutoHyphens w:val="0"/>
              <w:rPr>
                <w:rFonts w:eastAsia="TTE4D8A148t00" w:cs="Times New Roman"/>
                <w:b/>
                <w:bCs/>
                <w:color w:val="00000A"/>
              </w:rPr>
            </w:pPr>
          </w:p>
        </w:tc>
        <w:tc>
          <w:tcPr>
            <w:tcW w:w="2175" w:type="dxa"/>
            <w:tcBorders>
              <w:top w:val="single" w:sz="2" w:space="0" w:color="000001"/>
              <w:left w:val="single" w:sz="2" w:space="0" w:color="000001"/>
              <w:bottom w:val="single" w:sz="2" w:space="0" w:color="000001"/>
              <w:right w:val="nil"/>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Total</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proofErr w:type="gramStart"/>
            <w:r w:rsidRPr="00E06CD2">
              <w:rPr>
                <w:rFonts w:eastAsia="TTE4D8A148t00"/>
                <w:sz w:val="24"/>
                <w:szCs w:val="24"/>
                <w:lang w:bidi="hi-IN"/>
              </w:rPr>
              <w:t>7  a</w:t>
            </w:r>
            <w:proofErr w:type="gramEnd"/>
            <w:r w:rsidRPr="00E06CD2">
              <w:rPr>
                <w:rFonts w:eastAsia="TTE4D8A148t00"/>
                <w:sz w:val="24"/>
                <w:szCs w:val="24"/>
                <w:lang w:bidi="hi-IN"/>
              </w:rPr>
              <w:t xml:space="preserve"> 11</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12</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 a 10</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11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a 9</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10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 a 6</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7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a 4</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ou mais</w:t>
            </w:r>
          </w:p>
        </w:tc>
      </w:tr>
    </w:tbl>
    <w:p w:rsidR="00E06CD2" w:rsidRPr="00E06CD2" w:rsidRDefault="00E06CD2" w:rsidP="00E06CD2">
      <w:pPr>
        <w:pStyle w:val="Standarduser"/>
        <w:tabs>
          <w:tab w:val="left" w:pos="438"/>
          <w:tab w:val="left" w:pos="1477"/>
        </w:tabs>
        <w:snapToGrid w:val="0"/>
        <w:spacing w:before="100" w:after="57" w:line="276" w:lineRule="auto"/>
        <w:jc w:val="center"/>
        <w:rPr>
          <w:rFonts w:eastAsia="TTE4D8A148t00"/>
          <w:color w:val="000000"/>
          <w:sz w:val="24"/>
          <w:szCs w:val="24"/>
        </w:rPr>
      </w:pPr>
      <w:r w:rsidRPr="00E06CD2">
        <w:rPr>
          <w:rFonts w:eastAsia="TTE4D8A148t00"/>
          <w:color w:val="000000"/>
          <w:sz w:val="24"/>
          <w:szCs w:val="24"/>
        </w:rPr>
        <w:t>Tabela 5: Qualificação da inexecução contratual</w:t>
      </w:r>
    </w:p>
    <w:p w:rsidR="00E06CD2" w:rsidRPr="00E06CD2" w:rsidRDefault="00E06CD2" w:rsidP="00E06CD2">
      <w:pPr>
        <w:pStyle w:val="Standarduser"/>
        <w:spacing w:before="100" w:after="119" w:line="276" w:lineRule="auto"/>
        <w:ind w:left="792" w:right="7" w:firstLine="773"/>
        <w:jc w:val="both"/>
        <w:rPr>
          <w:rFonts w:eastAsia="TTE4D8A148t00"/>
          <w:color w:val="000000"/>
          <w:sz w:val="24"/>
          <w:szCs w:val="24"/>
        </w:rPr>
      </w:pPr>
    </w:p>
    <w:p w:rsidR="00E06CD2" w:rsidRPr="00E06CD2" w:rsidRDefault="00E06CD2" w:rsidP="00E06CD2">
      <w:pPr>
        <w:pStyle w:val="western"/>
        <w:numPr>
          <w:ilvl w:val="1"/>
          <w:numId w:val="136"/>
        </w:numPr>
        <w:tabs>
          <w:tab w:val="left" w:pos="-69"/>
          <w:tab w:val="left" w:pos="970"/>
        </w:tabs>
        <w:suppressAutoHyphens w:val="0"/>
        <w:autoSpaceDN/>
        <w:spacing w:before="100" w:after="57" w:line="276" w:lineRule="auto"/>
        <w:jc w:val="both"/>
        <w:textAlignment w:val="auto"/>
        <w:rPr>
          <w:rFonts w:ascii="Times New Roman" w:eastAsia="Times New Roman" w:hAnsi="Times New Roman" w:cs="Times New Roman"/>
          <w:b/>
          <w:bCs/>
          <w:color w:val="00000A"/>
          <w:sz w:val="24"/>
          <w:szCs w:val="24"/>
        </w:rPr>
      </w:pPr>
      <w:r w:rsidRPr="00E06CD2">
        <w:rPr>
          <w:rFonts w:ascii="Times New Roman" w:hAnsi="Times New Roman" w:cs="Times New Roman"/>
          <w:b/>
          <w:bCs/>
          <w:sz w:val="24"/>
          <w:szCs w:val="24"/>
        </w:rPr>
        <w:t>Suspensão temporária de participação em licitação e impedimento de contratar com a Administração, por até 02 (dois) anos;</w:t>
      </w:r>
    </w:p>
    <w:p w:rsidR="00E06CD2" w:rsidRPr="00E06CD2" w:rsidRDefault="00E06CD2" w:rsidP="00E06CD2">
      <w:pPr>
        <w:pStyle w:val="western"/>
        <w:numPr>
          <w:ilvl w:val="2"/>
          <w:numId w:val="136"/>
        </w:numPr>
        <w:tabs>
          <w:tab w:val="left" w:pos="-2448"/>
        </w:tabs>
        <w:suppressAutoHyphens w:val="0"/>
        <w:autoSpaceDN/>
        <w:spacing w:before="100" w:after="57"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bCs/>
          <w:sz w:val="24"/>
          <w:szCs w:val="24"/>
        </w:rPr>
        <w:lastRenderedPageBreak/>
        <w:t>A suspensão temporária de participação em licitação e impedimento de contratar</w:t>
      </w:r>
      <w:r w:rsidRPr="00E06CD2">
        <w:rPr>
          <w:rStyle w:val="Fontepargpadro1"/>
          <w:rFonts w:ascii="Times New Roman" w:hAnsi="Times New Roman" w:cs="Times New Roman"/>
          <w:sz w:val="24"/>
          <w:szCs w:val="24"/>
        </w:rPr>
        <w:t xml:space="preserve"> com o CNMP poderá ser aplicada nas hipóteses previstas no Art. 88 da Lei nº 8.666/93 </w:t>
      </w:r>
      <w:proofErr w:type="gramStart"/>
      <w:r w:rsidRPr="00E06CD2">
        <w:rPr>
          <w:rStyle w:val="Fontepargpadro1"/>
          <w:rFonts w:ascii="Times New Roman" w:hAnsi="Times New Roman" w:cs="Times New Roman"/>
          <w:sz w:val="24"/>
          <w:szCs w:val="24"/>
        </w:rPr>
        <w:t>e também</w:t>
      </w:r>
      <w:proofErr w:type="gramEnd"/>
      <w:r w:rsidRPr="00E06CD2">
        <w:rPr>
          <w:rStyle w:val="Fontepargpadro1"/>
          <w:rFonts w:ascii="Times New Roman" w:hAnsi="Times New Roman" w:cs="Times New Roman"/>
          <w:sz w:val="24"/>
          <w:szCs w:val="24"/>
        </w:rPr>
        <w:t xml:space="preserve"> nas seguintes:</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Descumprimento reiterado de obrigações fiscais e</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Cometimento de infrações graves, muito graves e gravíssimas, considerando os prejuízos causados ao CONTRATANTE e as circunstâncias no caso concreto</w:t>
      </w:r>
    </w:p>
    <w:p w:rsidR="00E06CD2" w:rsidRPr="00E06CD2" w:rsidRDefault="00E06CD2" w:rsidP="00E06CD2">
      <w:pPr>
        <w:pStyle w:val="western"/>
        <w:numPr>
          <w:ilvl w:val="1"/>
          <w:numId w:val="136"/>
        </w:numPr>
        <w:tabs>
          <w:tab w:val="left" w:pos="-1584"/>
        </w:tabs>
        <w:suppressAutoHyphens w:val="0"/>
        <w:autoSpaceDN/>
        <w:spacing w:before="100" w:after="57" w:line="276" w:lineRule="auto"/>
        <w:ind w:left="788" w:hanging="431"/>
        <w:jc w:val="both"/>
        <w:textAlignment w:val="auto"/>
        <w:rPr>
          <w:rFonts w:ascii="Times New Roman" w:hAnsi="Times New Roman" w:cs="Times New Roman"/>
          <w:sz w:val="24"/>
          <w:szCs w:val="24"/>
        </w:rPr>
      </w:pPr>
      <w:r w:rsidRPr="00E06CD2">
        <w:rPr>
          <w:rStyle w:val="Fontepargpadro1"/>
          <w:rFonts w:ascii="Times New Roman" w:eastAsia="TTE4D8A148t00" w:hAnsi="Times New Roman" w:cs="Times New Roman"/>
          <w:b/>
          <w:bCs/>
          <w:color w:val="000000"/>
          <w:sz w:val="24"/>
          <w:szCs w:val="24"/>
        </w:rPr>
        <w:t>Declaração de inidoneidade</w:t>
      </w:r>
      <w:r w:rsidRPr="00E06CD2">
        <w:rPr>
          <w:rStyle w:val="Fontepargpadro1"/>
          <w:rFonts w:ascii="Times New Roman" w:eastAsia="TTE4D8A148t00"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praticado atos ilícitos visando a frustrar os objetivos da licitação;</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Demonstrem não possuir idoneidade para contratar com a Administração em virtude de atos ilícitos praticados.</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Da aplicação das penas definidas no § 1º e no art. 87, da Lei n.º 8.666/93, exceto para aquela definida no inciso IV, caberá recurso no prazo de 05(cinco) dias úteis da data de intimação do ato.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 xml:space="preserve">O recurso e o pedido de reconsideração deverão ser entregues, mediante recibo, no setor de protocolo do CONTRATANTE, localizado no edifício Adail Belmonte, situado no </w:t>
      </w:r>
      <w:r w:rsidRPr="00E06CD2">
        <w:rPr>
          <w:rFonts w:ascii="Times New Roman" w:eastAsia="TTE4D8A148t00" w:hAnsi="Times New Roman" w:cs="Times New Roman"/>
          <w:color w:val="000000"/>
          <w:sz w:val="24"/>
          <w:szCs w:val="24"/>
        </w:rPr>
        <w:lastRenderedPageBreak/>
        <w:t>Setor de Administração Federal Sul, Quadra 03 Lote 02, Brasília/DF, nos dias úteis, das 12h às 19h.</w:t>
      </w:r>
    </w:p>
    <w:p w:rsidR="00E06CD2" w:rsidRPr="00E06CD2" w:rsidRDefault="00E06CD2" w:rsidP="00E06CD2">
      <w:pPr>
        <w:pStyle w:val="Standarduser"/>
        <w:numPr>
          <w:ilvl w:val="1"/>
          <w:numId w:val="136"/>
        </w:numPr>
        <w:spacing w:before="100" w:after="119" w:line="276" w:lineRule="auto"/>
        <w:jc w:val="both"/>
        <w:rPr>
          <w:rFonts w:eastAsia="TTE4D8A148t00"/>
          <w:color w:val="000000"/>
          <w:sz w:val="24"/>
          <w:szCs w:val="24"/>
        </w:rPr>
      </w:pPr>
      <w:r w:rsidRPr="00E06CD2">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ADEQUAÇÃO ORÇAMENTÁRIA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Os recursos da contratação estão consignados no orçamento da União para o exercício de 2018 no Programa 2100, Ação 8010, Fonte 0100.</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classificação orçamentária dos itens que compõem o detalhamento do objeto segue na tabela abaixo:</w:t>
      </w:r>
      <w:r w:rsidRPr="00E06CD2">
        <w:rPr>
          <w:sz w:val="24"/>
          <w:szCs w:val="24"/>
        </w:rPr>
        <w:tab/>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1"/>
        <w:gridCol w:w="1558"/>
        <w:gridCol w:w="2125"/>
      </w:tblGrid>
      <w:tr w:rsidR="00E06CD2" w:rsidRPr="00E06CD2" w:rsidTr="00E06CD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p>
        </w:tc>
        <w:tc>
          <w:tcPr>
            <w:tcW w:w="389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 da</w:t>
            </w:r>
            <w:r w:rsidRPr="00E06CD2">
              <w:rPr>
                <w:rStyle w:val="StrongEmphasis"/>
                <w:rFonts w:ascii="Times New Roman" w:hAnsi="Times New Roman" w:cs="Times New Roman"/>
                <w:b w:val="0"/>
                <w:color w:val="FFFFFF"/>
                <w:sz w:val="24"/>
                <w:szCs w:val="24"/>
                <w:lang w:bidi="hi-IN"/>
              </w:rPr>
              <w:br/>
              <w:t xml:space="preserve"> Licença</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Classificação Orçamentária</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111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71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6</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93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7</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8</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9</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83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10</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p w:rsidR="00E06CD2" w:rsidRPr="00E06CD2" w:rsidRDefault="00E06CD2">
            <w:pPr>
              <w:pStyle w:val="Textbodyuser"/>
              <w:tabs>
                <w:tab w:val="left" w:pos="1084"/>
                <w:tab w:val="left" w:pos="1793"/>
              </w:tabs>
              <w:snapToGrid w:val="0"/>
              <w:spacing w:after="0"/>
              <w:rPr>
                <w:rFonts w:ascii="Times New Roman" w:hAnsi="Times New Roman" w:cs="Times New Roman"/>
                <w:b/>
                <w:sz w:val="24"/>
                <w:szCs w:val="24"/>
                <w:lang w:bidi="hi-I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11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13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UST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33.90.40-21</w:t>
            </w:r>
          </w:p>
        </w:tc>
      </w:tr>
    </w:tbl>
    <w:p w:rsidR="00E06CD2" w:rsidRPr="00E06CD2" w:rsidRDefault="00E06CD2" w:rsidP="00E06CD2">
      <w:pPr>
        <w:pStyle w:val="Standarduser"/>
        <w:spacing w:before="100" w:after="119" w:line="276" w:lineRule="auto"/>
        <w:jc w:val="center"/>
        <w:rPr>
          <w:sz w:val="24"/>
          <w:szCs w:val="24"/>
        </w:rPr>
      </w:pPr>
      <w:r w:rsidRPr="00E06CD2">
        <w:rPr>
          <w:sz w:val="24"/>
          <w:szCs w:val="24"/>
        </w:rPr>
        <w:t>Tabela 6 – Classificação Orçamentária</w:t>
      </w:r>
    </w:p>
    <w:p w:rsidR="00E06CD2" w:rsidRPr="00E06CD2" w:rsidRDefault="00E06CD2" w:rsidP="00E06CD2">
      <w:pPr>
        <w:pStyle w:val="Standarduser"/>
        <w:spacing w:before="100" w:after="119" w:line="276" w:lineRule="auto"/>
        <w:ind w:left="792"/>
        <w:jc w:val="center"/>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PROPOSTA E COMPROVAÇÃO TÉCNICA PARA HABILITAÇÃO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 xml:space="preserve">Para julgamento e classificação das propostas, será adotado o critério de menor preço por lote e por </w:t>
      </w:r>
      <w:proofErr w:type="gramStart"/>
      <w:r w:rsidRPr="00E06CD2">
        <w:rPr>
          <w:sz w:val="24"/>
          <w:szCs w:val="24"/>
        </w:rPr>
        <w:t>item ;</w:t>
      </w:r>
      <w:proofErr w:type="gramEnd"/>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apresentada deverá conter o CNPJ da proponente, nome para contato, endereço, telefone fixo e prazo de validade e ser endereçada ao Conselho Nacional do Ministério Público – CNMP.</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Nos preços da proposta deverão estar inclusas todas as despesas e custos diretos e indiretos, como impostos, taxas e fretes.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deverá conter todas as informações necessárias que compõem a solução;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Todos os documentos devem estar completos e legíveis;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Deverá entregar declaração ou atestado de comprovação de capacidade técnica em seu nome, expedido por pessoa jurídica de direito público ou privado de acordo com as especificações contidas neste termo de referência;</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Deverá(</w:t>
      </w:r>
      <w:proofErr w:type="spellStart"/>
      <w:r w:rsidRPr="00E06CD2">
        <w:rPr>
          <w:sz w:val="24"/>
          <w:szCs w:val="24"/>
        </w:rPr>
        <w:t>ão</w:t>
      </w:r>
      <w:proofErr w:type="spellEnd"/>
      <w:r w:rsidRPr="00E06CD2">
        <w:rPr>
          <w:sz w:val="24"/>
          <w:szCs w:val="24"/>
        </w:rPr>
        <w:t>) ser obrigatoriamente emitido(s) por pessoa jurídica de direito público ou privado. Serão considerados para avaliação apenas os atestados acompanhados de cópias dos respectivos contratos e aditivos</w:t>
      </w:r>
    </w:p>
    <w:p w:rsidR="00E06CD2" w:rsidRPr="00E06CD2" w:rsidRDefault="00E06CD2" w:rsidP="00E06CD2">
      <w:pPr>
        <w:pStyle w:val="Textbody"/>
        <w:numPr>
          <w:ilvl w:val="2"/>
          <w:numId w:val="137"/>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Deverá ser emitido em papel timbrado e impreterivelmente conter:</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lastRenderedPageBreak/>
        <w:t>Razão Social, CNPJ e Endereço Completo da Empresa Emitente;</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Razão Social da licitante vencedora;</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Número e vigência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Objeto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 xml:space="preserve">Descrição detalhada contendo: </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01, para fins de comprovação de licenciamento, nome das licenças fornecidas, suas respectivas quantidades, descrição e modelo de licenciamento;</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02,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Declaração de que foram atendidas as expectativas do cliente quanto ao cumprimento de cronogramas pactuados;</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Local e data de emissão;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Identificação do responsável pela emissão do atestado: Nome, Cargo e Contato (telefone e correio eletrônico);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Assinatura do responsável pela emissão do atestado.</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 xml:space="preserve"> A declaração ou atestado deverá ainda, para o Lote 01: </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 xml:space="preserve">Para efeito de comprovação de quantidades é permitido o somatório de contratos executados, não havendo nenhuma restrição quanto ao ano-base a ser </w:t>
      </w:r>
      <w:r w:rsidRPr="00E06CD2">
        <w:rPr>
          <w:sz w:val="24"/>
          <w:szCs w:val="24"/>
        </w:rPr>
        <w:lastRenderedPageBreak/>
        <w:t>considerado para o quesito. Assim, a licitante pode optar por qualquer ano de seu histórico operacional para o atendimento da exigência para habilitação.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Devem ser originais ou autenticados, se cópias, e legíveis.</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Não serão aceitas cópias de atestados já autenticados anteriormente (cópia de cópia).</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Será considerada vencedora a proposta que apresentar o menor preço por lote</w:t>
      </w:r>
      <w:r w:rsidR="00371478">
        <w:rPr>
          <w:rFonts w:ascii="Times New Roman" w:hAnsi="Times New Roman" w:cs="Times New Roman"/>
          <w:sz w:val="24"/>
          <w:szCs w:val="24"/>
        </w:rPr>
        <w:t>/item</w:t>
      </w:r>
      <w:r w:rsidRPr="00E06CD2">
        <w:rPr>
          <w:rFonts w:ascii="Times New Roman" w:hAnsi="Times New Roman" w:cs="Times New Roman"/>
          <w:sz w:val="24"/>
          <w:szCs w:val="24"/>
        </w:rPr>
        <w:t>.</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proposta deve incluir tabela contendo todos os valores unitários e totais conforme modelo abaixo:</w:t>
      </w:r>
    </w:p>
    <w:p w:rsidR="00E06CD2" w:rsidRPr="00E06CD2" w:rsidRDefault="00E06CD2" w:rsidP="00E06CD2">
      <w:pPr>
        <w:pStyle w:val="western"/>
        <w:spacing w:after="0" w:line="276" w:lineRule="auto"/>
        <w:ind w:left="360"/>
        <w:jc w:val="both"/>
        <w:rPr>
          <w:rFonts w:ascii="Times New Roman" w:hAnsi="Times New Roman" w:cs="Times New Roman"/>
          <w:sz w:val="24"/>
          <w:szCs w:val="24"/>
        </w:rPr>
      </w:pPr>
    </w:p>
    <w:tbl>
      <w:tblPr>
        <w:tblW w:w="882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7"/>
        <w:gridCol w:w="476"/>
        <w:gridCol w:w="2836"/>
        <w:gridCol w:w="1395"/>
        <w:gridCol w:w="888"/>
        <w:gridCol w:w="1134"/>
        <w:gridCol w:w="1844"/>
      </w:tblGrid>
      <w:tr w:rsidR="00E06CD2" w:rsidRPr="00E06CD2" w:rsidTr="00E06CD2">
        <w:trPr>
          <w:trHeight w:val="505"/>
        </w:trPr>
        <w:tc>
          <w:tcPr>
            <w:tcW w:w="246"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47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ITEM</w:t>
            </w:r>
          </w:p>
        </w:tc>
        <w:tc>
          <w:tcPr>
            <w:tcW w:w="2835"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Subscrição</w:t>
            </w:r>
          </w:p>
        </w:tc>
        <w:tc>
          <w:tcPr>
            <w:tcW w:w="888"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Anual</w:t>
            </w:r>
          </w:p>
        </w:tc>
        <w:tc>
          <w:tcPr>
            <w:tcW w:w="1843"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 anual</w:t>
            </w:r>
          </w:p>
        </w:tc>
      </w:tr>
      <w:tr w:rsidR="00E06CD2" w:rsidRPr="00E06CD2" w:rsidTr="00E06CD2">
        <w:trPr>
          <w:trHeight w:val="806"/>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mensal </w:t>
            </w:r>
            <w:proofErr w:type="gramStart"/>
            <w:r w:rsidRPr="00E06CD2">
              <w:rPr>
                <w:rStyle w:val="StrongEmphasis"/>
                <w:rFonts w:ascii="Times New Roman" w:hAnsi="Times New Roman" w:cs="Times New Roman"/>
                <w:b w:val="0"/>
                <w:color w:val="000000"/>
                <w:sz w:val="24"/>
                <w:szCs w:val="24"/>
                <w:lang w:bidi="hi-IN"/>
              </w:rPr>
              <w:t>por  36</w:t>
            </w:r>
            <w:proofErr w:type="gramEnd"/>
            <w:r w:rsidRPr="00E06CD2">
              <w:rPr>
                <w:rStyle w:val="StrongEmphasis"/>
                <w:rFonts w:ascii="Times New Roman" w:hAnsi="Times New Roman" w:cs="Times New Roman"/>
                <w:b w:val="0"/>
                <w:color w:val="000000"/>
                <w:sz w:val="24"/>
                <w:szCs w:val="24"/>
                <w:lang w:bidi="hi-IN"/>
              </w:rPr>
              <w:t xml:space="preserve">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15</w:t>
            </w:r>
            <w:r w:rsidR="00E06CD2" w:rsidRPr="00E06CD2">
              <w:rPr>
                <w:rFonts w:ascii="Times New Roman" w:hAnsi="Times New Roman" w:cs="Times New Roman"/>
                <w:sz w:val="24"/>
                <w:szCs w:val="24"/>
                <w:lang w:bidi="hi-IN"/>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806"/>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78"/>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5"/>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5"/>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0"/>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0"/>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0"/>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710"/>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599"/>
        </w:trPr>
        <w:tc>
          <w:tcPr>
            <w:tcW w:w="246" w:type="dxa"/>
            <w:tcBorders>
              <w:top w:val="single" w:sz="4" w:space="0" w:color="auto"/>
              <w:left w:val="single" w:sz="4" w:space="0" w:color="auto"/>
              <w:bottom w:val="single" w:sz="4" w:space="0" w:color="auto"/>
              <w:right w:val="single" w:sz="4" w:space="0" w:color="auto"/>
            </w:tcBorders>
            <w:shd w:val="clear" w:color="auto" w:fill="E7E6E6"/>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476"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2835"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Style w:val="StrongEmphasis"/>
                <w:rFonts w:ascii="Times New Roman" w:hAnsi="Times New Roman" w:cs="Times New Roman"/>
                <w:b w:val="0"/>
                <w:color w:val="000000"/>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000000"/>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Aquisição</w:t>
            </w:r>
          </w:p>
        </w:tc>
        <w:tc>
          <w:tcPr>
            <w:tcW w:w="888"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000000"/>
                <w:sz w:val="24"/>
                <w:szCs w:val="24"/>
                <w:lang w:bidi="hi-IN"/>
              </w:rPr>
              <w:t>Qtde</w:t>
            </w:r>
            <w:proofErr w:type="spellEnd"/>
            <w:r w:rsidRPr="00E06CD2">
              <w:rPr>
                <w:rStyle w:val="StrongEmphasis"/>
                <w:rFonts w:ascii="Times New Roman" w:hAnsi="Times New Roman" w:cs="Times New Roman"/>
                <w:b w:val="0"/>
                <w:color w:val="000000"/>
                <w:sz w:val="24"/>
                <w:szCs w:val="24"/>
                <w:lang w:bidi="hi-IN"/>
              </w:rPr>
              <w:t xml:space="preserve"> Máxima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000000"/>
                <w:sz w:val="24"/>
                <w:szCs w:val="24"/>
                <w:lang w:bidi="hi-IN"/>
              </w:rPr>
              <w:t>Valor Unit.</w:t>
            </w:r>
            <w:r w:rsidRPr="00E06CD2">
              <w:rPr>
                <w:rStyle w:val="StrongEmphasis"/>
                <w:rFonts w:ascii="Times New Roman" w:hAnsi="Times New Roman" w:cs="Times New Roman"/>
                <w:b w:val="0"/>
                <w:color w:val="000000"/>
                <w:sz w:val="24"/>
                <w:szCs w:val="24"/>
                <w:lang w:bidi="hi-IN"/>
              </w:rPr>
              <w:br/>
              <w:t>para 36 meses</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Valor Total</w:t>
            </w:r>
            <w:r w:rsidRPr="00E06CD2">
              <w:rPr>
                <w:rStyle w:val="StrongEmphasis"/>
                <w:rFonts w:ascii="Times New Roman" w:hAnsi="Times New Roman" w:cs="Times New Roman"/>
                <w:b w:val="0"/>
                <w:color w:val="000000"/>
                <w:sz w:val="24"/>
                <w:szCs w:val="24"/>
                <w:lang w:bidi="hi-IN"/>
              </w:rPr>
              <w:br/>
              <w:t>Estimado</w:t>
            </w:r>
          </w:p>
        </w:tc>
      </w:tr>
      <w:tr w:rsidR="00E06CD2" w:rsidRPr="00E06CD2" w:rsidTr="00E06CD2">
        <w:trPr>
          <w:trHeight w:val="1835"/>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b/>
                <w:sz w:val="24"/>
                <w:szCs w:val="24"/>
                <w:lang w:bidi="hi-IN"/>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E06CD2">
        <w:trPr>
          <w:trHeight w:val="1773"/>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E06CD2">
        <w:trPr>
          <w:trHeight w:val="1773"/>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E06CD2">
        <w:trPr>
          <w:trHeight w:val="1773"/>
        </w:trPr>
        <w:tc>
          <w:tcPr>
            <w:tcW w:w="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lastRenderedPageBreak/>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E06CD2">
        <w:trPr>
          <w:trHeight w:val="479"/>
        </w:trPr>
        <w:tc>
          <w:tcPr>
            <w:tcW w:w="697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FFFFFF"/>
                <w:sz w:val="24"/>
                <w:szCs w:val="24"/>
              </w:rPr>
            </w:pPr>
            <w:r w:rsidRPr="00E06CD2">
              <w:rPr>
                <w:rStyle w:val="StrongEmphasis"/>
                <w:rFonts w:ascii="Times New Roman" w:hAnsi="Times New Roman" w:cs="Times New Roman"/>
                <w:color w:val="000000"/>
                <w:sz w:val="24"/>
                <w:szCs w:val="24"/>
                <w:lang w:bidi="hi-IN"/>
              </w:rPr>
              <w:t>TOTAL DO LOTE 1</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p>
        </w:tc>
      </w:tr>
      <w:tr w:rsidR="00E06CD2" w:rsidRPr="00E06CD2" w:rsidTr="00E06CD2">
        <w:trPr>
          <w:trHeight w:val="1042"/>
        </w:trPr>
        <w:tc>
          <w:tcPr>
            <w:tcW w:w="72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color w:val="FFFFFF"/>
                <w:sz w:val="24"/>
                <w:szCs w:val="24"/>
                <w:lang w:bidi="hi-IN"/>
              </w:rPr>
              <w:t>ITEM</w:t>
            </w:r>
          </w:p>
        </w:tc>
        <w:tc>
          <w:tcPr>
            <w:tcW w:w="2835"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888"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843"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E06CD2">
        <w:trPr>
          <w:trHeight w:val="1979"/>
        </w:trPr>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E06CD2">
        <w:trPr>
          <w:trHeight w:val="501"/>
        </w:trPr>
        <w:tc>
          <w:tcPr>
            <w:tcW w:w="6974"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color w:val="000000"/>
                <w:sz w:val="24"/>
                <w:szCs w:val="24"/>
                <w:lang w:bidi="hi-IN"/>
              </w:rPr>
              <w:t>TOTAL DO ITEM</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Default="00E06CD2" w:rsidP="00E06CD2">
      <w:pPr>
        <w:pStyle w:val="western"/>
        <w:spacing w:after="0" w:line="276" w:lineRule="auto"/>
        <w:ind w:left="360"/>
        <w:jc w:val="both"/>
        <w:rPr>
          <w:rFonts w:ascii="Arial" w:eastAsia="Times New Roman" w:hAnsi="Arial" w:cs="Arial"/>
          <w:sz w:val="22"/>
          <w:szCs w:val="22"/>
          <w:lang w:eastAsia="zh-CN"/>
        </w:rPr>
      </w:pPr>
    </w:p>
    <w:p w:rsidR="00783646" w:rsidRPr="00783646" w:rsidRDefault="00783646" w:rsidP="00783646">
      <w:pPr>
        <w:pStyle w:val="Textbody"/>
        <w:spacing w:before="57" w:after="57" w:line="360" w:lineRule="auto"/>
        <w:ind w:right="350"/>
        <w:jc w:val="center"/>
        <w:rPr>
          <w:rFonts w:ascii="Times New Roman" w:hAnsi="Times New Roman" w:cs="Times New Roman"/>
          <w:sz w:val="24"/>
          <w:szCs w:val="24"/>
        </w:rPr>
      </w:pPr>
    </w:p>
    <w:p w:rsidR="00A11032" w:rsidRDefault="00A11032">
      <w:pPr>
        <w:pageBreakBefore/>
        <w:suppressAutoHyphens w:val="0"/>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5D64A7">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5D64A7" w:rsidRDefault="00EE68D3" w:rsidP="005D64A7">
      <w:pPr>
        <w:pStyle w:val="Standard"/>
        <w:spacing w:line="360" w:lineRule="auto"/>
        <w:jc w:val="center"/>
        <w:rPr>
          <w:b/>
          <w:bCs/>
          <w:color w:val="000000"/>
          <w:sz w:val="24"/>
          <w:szCs w:val="24"/>
          <w:u w:val="single"/>
        </w:rP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rsidP="005D64A7">
      <w:pPr>
        <w:pStyle w:val="Standard"/>
        <w:spacing w:line="360" w:lineRule="auto"/>
        <w:jc w:val="center"/>
      </w:pPr>
      <w:r>
        <w:rPr>
          <w:b/>
          <w:sz w:val="24"/>
          <w:szCs w:val="24"/>
          <w:u w:val="single"/>
        </w:rPr>
        <w:t>UASG – 590001</w:t>
      </w:r>
    </w:p>
    <w:p w:rsidR="00A11032" w:rsidRDefault="00A11032">
      <w:pPr>
        <w:pStyle w:val="Standard"/>
        <w:autoSpaceDE w:val="0"/>
        <w:spacing w:line="100" w:lineRule="atLeast"/>
        <w:jc w:val="center"/>
        <w:rPr>
          <w:sz w:val="24"/>
          <w:szCs w:val="24"/>
        </w:rPr>
      </w:pPr>
    </w:p>
    <w:p w:rsidR="00A11032" w:rsidRDefault="00EE68D3">
      <w:pPr>
        <w:pStyle w:val="Standard"/>
        <w:autoSpaceDE w:val="0"/>
        <w:spacing w:line="100" w:lineRule="atLeast"/>
        <w:jc w:val="center"/>
        <w:rPr>
          <w:b/>
          <w:bCs/>
          <w:sz w:val="24"/>
          <w:szCs w:val="24"/>
          <w:u w:val="single"/>
        </w:rPr>
      </w:pPr>
      <w:r>
        <w:rPr>
          <w:b/>
          <w:bCs/>
          <w:sz w:val="24"/>
          <w:szCs w:val="24"/>
          <w:u w:val="single"/>
        </w:rPr>
        <w:t>ANEXO II</w:t>
      </w:r>
    </w:p>
    <w:p w:rsidR="00A11032" w:rsidRDefault="00A11032">
      <w:pPr>
        <w:pStyle w:val="Standard"/>
        <w:autoSpaceDE w:val="0"/>
        <w:spacing w:line="100" w:lineRule="atLeast"/>
        <w:jc w:val="center"/>
        <w:rPr>
          <w:rFonts w:eastAsia="Arial"/>
          <w:b/>
          <w:bCs/>
          <w:sz w:val="24"/>
          <w:szCs w:val="24"/>
          <w:u w:val="single"/>
        </w:rPr>
      </w:pPr>
    </w:p>
    <w:p w:rsidR="00A11032" w:rsidRDefault="00EE68D3">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A11032" w:rsidRDefault="00A11032">
      <w:pPr>
        <w:pStyle w:val="Standard"/>
        <w:autoSpaceDE w:val="0"/>
        <w:spacing w:line="360" w:lineRule="auto"/>
        <w:ind w:firstLine="1410"/>
        <w:jc w:val="both"/>
        <w:rPr>
          <w:rFonts w:eastAsia="Arial" w:cs="Arial"/>
          <w:sz w:val="24"/>
          <w:szCs w:val="24"/>
          <w:lang w:eastAsia="pt-BR" w:bidi="pt-BR"/>
        </w:rPr>
      </w:pPr>
    </w:p>
    <w:p w:rsidR="00A11032" w:rsidRDefault="00EE68D3">
      <w:pPr>
        <w:pStyle w:val="Standard"/>
        <w:autoSpaceDE w:val="0"/>
        <w:spacing w:line="360" w:lineRule="auto"/>
        <w:jc w:val="both"/>
        <w:rPr>
          <w:rFonts w:eastAsia="Arial-BoldMT" w:cs="Arial-BoldMT"/>
          <w:b/>
          <w:bCs/>
          <w:sz w:val="24"/>
          <w:szCs w:val="24"/>
        </w:rPr>
      </w:pPr>
      <w:r>
        <w:rPr>
          <w:rFonts w:eastAsia="Arial-BoldMT" w:cs="Arial-BoldMT"/>
          <w:b/>
          <w:bCs/>
          <w:sz w:val="24"/>
          <w:szCs w:val="24"/>
        </w:rPr>
        <w:t xml:space="preserve">AO: CONSELHO NACIONAL DO MINISTÉRIO PÚBLICO – PREGÃO ELETRÔNICO Nº </w:t>
      </w:r>
      <w:r w:rsidR="005D64A7">
        <w:rPr>
          <w:rFonts w:eastAsia="Arial-BoldMT" w:cs="Arial-BoldMT"/>
          <w:b/>
          <w:bCs/>
          <w:sz w:val="24"/>
          <w:szCs w:val="24"/>
        </w:rPr>
        <w:t>1</w:t>
      </w:r>
      <w:r w:rsidR="00E06CD2">
        <w:rPr>
          <w:rFonts w:eastAsia="Arial-BoldMT" w:cs="Arial-BoldMT"/>
          <w:b/>
          <w:bCs/>
          <w:sz w:val="24"/>
          <w:szCs w:val="24"/>
        </w:rPr>
        <w:t>7</w:t>
      </w:r>
      <w:r>
        <w:rPr>
          <w:rFonts w:eastAsia="Arial-BoldMT" w:cs="Arial-BoldMT"/>
          <w:b/>
          <w:bCs/>
          <w:sz w:val="24"/>
          <w:szCs w:val="24"/>
        </w:rPr>
        <w:t>/2019</w:t>
      </w:r>
    </w:p>
    <w:p w:rsidR="00A11032" w:rsidRDefault="00A11032">
      <w:pPr>
        <w:pStyle w:val="Standard"/>
        <w:autoSpaceDE w:val="0"/>
        <w:spacing w:line="360" w:lineRule="auto"/>
        <w:jc w:val="both"/>
        <w:rPr>
          <w:rFonts w:eastAsia="Arial-BoldMT" w:cs="Arial-BoldMT"/>
          <w:b/>
          <w:bCs/>
          <w:sz w:val="24"/>
          <w:szCs w:val="24"/>
        </w:rPr>
      </w:pPr>
    </w:p>
    <w:p w:rsidR="00A11032" w:rsidRDefault="00EE68D3">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A11032" w:rsidRDefault="00EE68D3">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A11032" w:rsidRDefault="00EE68D3">
      <w:pPr>
        <w:pStyle w:val="Standard"/>
        <w:autoSpaceDE w:val="0"/>
        <w:rPr>
          <w:rFonts w:eastAsia="Arial" w:cs="Arial"/>
          <w:bCs/>
          <w:sz w:val="24"/>
          <w:szCs w:val="24"/>
        </w:rPr>
      </w:pPr>
      <w:proofErr w:type="spellStart"/>
      <w:r>
        <w:rPr>
          <w:rFonts w:eastAsia="Arial" w:cs="Arial"/>
          <w:bCs/>
          <w:sz w:val="24"/>
          <w:szCs w:val="24"/>
        </w:rPr>
        <w:t>Tel</w:t>
      </w:r>
      <w:proofErr w:type="spellEnd"/>
      <w:r>
        <w:rPr>
          <w:rFonts w:eastAsia="Arial" w:cs="Arial"/>
          <w:bCs/>
          <w:sz w:val="24"/>
          <w:szCs w:val="24"/>
        </w:rPr>
        <w:t>/Fax:</w:t>
      </w:r>
    </w:p>
    <w:p w:rsidR="00A11032" w:rsidRDefault="00EE68D3">
      <w:pPr>
        <w:pStyle w:val="Standard"/>
        <w:autoSpaceDE w:val="0"/>
        <w:rPr>
          <w:rFonts w:eastAsia="Arial" w:cs="Arial"/>
          <w:bCs/>
          <w:sz w:val="24"/>
          <w:szCs w:val="24"/>
        </w:rPr>
      </w:pPr>
      <w:r>
        <w:rPr>
          <w:rFonts w:eastAsia="Arial" w:cs="Arial"/>
          <w:bCs/>
          <w:sz w:val="24"/>
          <w:szCs w:val="24"/>
        </w:rPr>
        <w:t>Endereço:</w:t>
      </w:r>
    </w:p>
    <w:p w:rsidR="00A11032" w:rsidRDefault="00EE68D3">
      <w:pPr>
        <w:pStyle w:val="Standard"/>
        <w:rPr>
          <w:sz w:val="24"/>
          <w:szCs w:val="24"/>
        </w:rPr>
      </w:pPr>
      <w:r>
        <w:rPr>
          <w:sz w:val="24"/>
          <w:szCs w:val="24"/>
        </w:rPr>
        <w:t>Banco: Agência: C/C:</w:t>
      </w:r>
    </w:p>
    <w:p w:rsidR="00A11032" w:rsidRDefault="00A11032">
      <w:pPr>
        <w:pStyle w:val="Standard"/>
        <w:rPr>
          <w:sz w:val="24"/>
          <w:szCs w:val="24"/>
        </w:rPr>
      </w:pPr>
    </w:p>
    <w:p w:rsidR="00A11032" w:rsidRDefault="00EE68D3">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A11032" w:rsidRDefault="00EE68D3">
      <w:pPr>
        <w:pStyle w:val="Standard"/>
        <w:autoSpaceDE w:val="0"/>
        <w:rPr>
          <w:rFonts w:eastAsia="Arial" w:cs="Arial"/>
          <w:bCs/>
          <w:sz w:val="24"/>
          <w:szCs w:val="24"/>
        </w:rPr>
      </w:pPr>
      <w:r>
        <w:rPr>
          <w:rFonts w:eastAsia="Arial" w:cs="Arial"/>
          <w:bCs/>
          <w:sz w:val="24"/>
          <w:szCs w:val="24"/>
        </w:rPr>
        <w:t>Nome:</w:t>
      </w:r>
    </w:p>
    <w:p w:rsidR="00A11032" w:rsidRDefault="00EE68D3">
      <w:pPr>
        <w:pStyle w:val="Standard"/>
        <w:autoSpaceDE w:val="0"/>
        <w:rPr>
          <w:rFonts w:eastAsia="Arial" w:cs="Arial"/>
          <w:bCs/>
          <w:sz w:val="24"/>
          <w:szCs w:val="24"/>
        </w:rPr>
      </w:pPr>
      <w:r>
        <w:rPr>
          <w:rFonts w:eastAsia="Arial" w:cs="Arial"/>
          <w:bCs/>
          <w:sz w:val="24"/>
          <w:szCs w:val="24"/>
        </w:rPr>
        <w:t>Função:</w:t>
      </w:r>
    </w:p>
    <w:p w:rsidR="00A11032" w:rsidRDefault="00EE68D3">
      <w:pPr>
        <w:pStyle w:val="Standard"/>
        <w:autoSpaceDE w:val="0"/>
        <w:rPr>
          <w:rFonts w:eastAsia="Arial" w:cs="Arial"/>
          <w:bCs/>
          <w:sz w:val="24"/>
          <w:szCs w:val="24"/>
        </w:rPr>
      </w:pPr>
      <w:r>
        <w:rPr>
          <w:rFonts w:eastAsia="Arial" w:cs="Arial"/>
          <w:bCs/>
          <w:sz w:val="24"/>
          <w:szCs w:val="24"/>
        </w:rPr>
        <w:t>CPF:</w:t>
      </w:r>
    </w:p>
    <w:p w:rsidR="00A11032" w:rsidRDefault="00EE68D3">
      <w:pPr>
        <w:pStyle w:val="Standard"/>
        <w:autoSpaceDE w:val="0"/>
        <w:rPr>
          <w:rFonts w:eastAsia="Arial" w:cs="Arial"/>
          <w:bCs/>
          <w:sz w:val="24"/>
          <w:szCs w:val="24"/>
        </w:rPr>
      </w:pPr>
      <w:r>
        <w:rPr>
          <w:rFonts w:eastAsia="Arial" w:cs="Arial"/>
          <w:bCs/>
          <w:sz w:val="24"/>
          <w:szCs w:val="24"/>
        </w:rPr>
        <w:t>Telefone/Fax:</w:t>
      </w:r>
    </w:p>
    <w:p w:rsidR="00A11032" w:rsidRDefault="00EE68D3">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D845CA" w:rsidRDefault="00D845CA">
      <w:pPr>
        <w:pStyle w:val="Standard"/>
        <w:autoSpaceDE w:val="0"/>
        <w:rPr>
          <w:sz w:val="24"/>
          <w:szCs w:val="24"/>
        </w:rPr>
      </w:pPr>
      <w:r w:rsidRPr="00AF3EF2">
        <w:rPr>
          <w:sz w:val="24"/>
          <w:szCs w:val="24"/>
        </w:rPr>
        <w:t>Validade da Proposta: 60 dias</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 anual</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r>
              <w:rPr>
                <w:rStyle w:val="StrongEmphasis"/>
                <w:rFonts w:ascii="Times New Roman" w:hAnsi="Times New Roman" w:cs="Times New Roman"/>
                <w:color w:val="000000"/>
                <w:sz w:val="18"/>
                <w:szCs w:val="18"/>
                <w:lang w:bidi="hi-IN"/>
              </w:rPr>
              <w:t>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R$ 499,72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R$ 83.952,96</w:t>
            </w:r>
          </w:p>
        </w:tc>
      </w:tr>
      <w:tr w:rsidR="00371478" w:rsidRPr="0093207A" w:rsidTr="00511AFF">
        <w:trPr>
          <w:trHeight w:val="1090"/>
          <w:jc w:val="center"/>
        </w:trPr>
        <w:tc>
          <w:tcPr>
            <w:tcW w:w="278" w:type="dxa"/>
            <w:tcBorders>
              <w:top w:val="single" w:sz="4" w:space="0" w:color="auto"/>
              <w:left w:val="single" w:sz="4" w:space="0" w:color="auto"/>
              <w:bottom w:val="single" w:sz="4" w:space="0" w:color="auto"/>
              <w:right w:val="single" w:sz="4" w:space="0" w:color="auto"/>
            </w:tcBorders>
            <w:shd w:val="clear" w:color="auto" w:fill="E7E6E6"/>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567"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2411"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Style w:val="StrongEmphasis"/>
                <w:rFonts w:ascii="Times New Roman" w:hAnsi="Times New Roman" w:cs="Times New Roman"/>
                <w:color w:val="000000"/>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000000"/>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7E6E6"/>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000000"/>
                <w:sz w:val="18"/>
                <w:szCs w:val="18"/>
                <w:lang w:bidi="hi-IN"/>
              </w:rPr>
              <w:t>Qtde</w:t>
            </w:r>
            <w:proofErr w:type="spellEnd"/>
            <w:r w:rsidRPr="0093207A">
              <w:rPr>
                <w:rStyle w:val="StrongEmphasis"/>
                <w:rFonts w:ascii="Times New Roman" w:hAnsi="Times New Roman" w:cs="Times New Roman"/>
                <w:color w:val="000000"/>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000000"/>
                <w:sz w:val="18"/>
                <w:szCs w:val="18"/>
                <w:lang w:bidi="hi-IN"/>
              </w:rPr>
              <w:t>Valor Unit.</w:t>
            </w:r>
            <w:r w:rsidRPr="0093207A">
              <w:rPr>
                <w:rStyle w:val="StrongEmphasis"/>
                <w:rFonts w:ascii="Times New Roman" w:hAnsi="Times New Roman" w:cs="Times New Roman"/>
                <w:color w:val="000000"/>
                <w:sz w:val="18"/>
                <w:szCs w:val="18"/>
                <w:lang w:bidi="hi-IN"/>
              </w:rPr>
              <w:br/>
              <w:t>Estimado para 36 meses</w:t>
            </w:r>
          </w:p>
        </w:tc>
        <w:tc>
          <w:tcPr>
            <w:tcW w:w="19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Valor Total</w:t>
            </w:r>
            <w:r w:rsidRPr="0093207A">
              <w:rPr>
                <w:rStyle w:val="StrongEmphasis"/>
                <w:rFonts w:ascii="Times New Roman" w:hAnsi="Times New Roman" w:cs="Times New Roman"/>
                <w:color w:val="000000"/>
                <w:sz w:val="18"/>
                <w:szCs w:val="18"/>
                <w:lang w:bidi="hi-IN"/>
              </w:rPr>
              <w:br/>
              <w:t>Estimado para 36 meses</w:t>
            </w: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b/>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w:t>
      </w:r>
      <w:r w:rsidR="00536C22">
        <w:rPr>
          <w:rFonts w:eastAsia="Arial" w:cs="Arial"/>
          <w:b/>
          <w:bCs/>
          <w:color w:val="000000"/>
          <w:spacing w:val="-3"/>
          <w:sz w:val="24"/>
          <w:szCs w:val="24"/>
          <w:u w:val="single"/>
        </w:rPr>
        <w:t>II</w:t>
      </w: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A11032" w:rsidRDefault="00EE68D3">
      <w:pPr>
        <w:pStyle w:val="Standard"/>
        <w:spacing w:line="360" w:lineRule="auto"/>
        <w:jc w:val="center"/>
        <w:rPr>
          <w:rFonts w:eastAsia="Arial-BoldMT" w:cs="Arial-BoldMT"/>
          <w:b/>
          <w:bCs/>
          <w:sz w:val="24"/>
          <w:szCs w:val="24"/>
        </w:rPr>
      </w:pPr>
      <w:r>
        <w:rPr>
          <w:rFonts w:eastAsia="Arial-BoldMT" w:cs="Arial-BoldMT"/>
          <w:b/>
          <w:bCs/>
          <w:sz w:val="24"/>
          <w:szCs w:val="24"/>
        </w:rPr>
        <w:lastRenderedPageBreak/>
        <w:t>(RESOLUÇÕES CNMP nº 01/2005, 07/2006, 21/2007, 28/2008 e 37/2009)</w:t>
      </w:r>
    </w:p>
    <w:p w:rsidR="00A11032" w:rsidRDefault="00EE68D3">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A11032" w:rsidRDefault="00A11032">
      <w:pPr>
        <w:pStyle w:val="Standard"/>
        <w:spacing w:line="360" w:lineRule="auto"/>
        <w:jc w:val="both"/>
        <w:rPr>
          <w:rFonts w:eastAsia="ArialMT" w:cs="ArialMT"/>
          <w:sz w:val="24"/>
          <w:szCs w:val="24"/>
        </w:rPr>
      </w:pPr>
    </w:p>
    <w:p w:rsidR="00A11032" w:rsidRDefault="00EE68D3">
      <w:pPr>
        <w:pStyle w:val="Standard"/>
        <w:tabs>
          <w:tab w:val="left" w:pos="11524"/>
        </w:tabs>
        <w:spacing w:line="360" w:lineRule="auto"/>
        <w:ind w:right="-19"/>
        <w:jc w:val="both"/>
      </w:pPr>
      <w:r>
        <w:rPr>
          <w:rFonts w:eastAsia="Arial" w:cs="Arial"/>
          <w:sz w:val="24"/>
          <w:szCs w:val="24"/>
        </w:rPr>
        <w:t xml:space="preserve">            (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A11032">
      <w:pPr>
        <w:pStyle w:val="Standard"/>
        <w:spacing w:line="360" w:lineRule="auto"/>
        <w:ind w:right="-19"/>
        <w:jc w:val="both"/>
        <w:rPr>
          <w:rFonts w:eastAsia="ArialMT" w:cs="ArialMT"/>
          <w:sz w:val="24"/>
          <w:szCs w:val="24"/>
        </w:rPr>
      </w:pPr>
    </w:p>
    <w:p w:rsidR="00A11032" w:rsidRDefault="00EE68D3">
      <w:pPr>
        <w:pStyle w:val="Standard"/>
        <w:spacing w:line="360" w:lineRule="auto"/>
        <w:jc w:val="both"/>
      </w:pPr>
      <w:r>
        <w:rPr>
          <w:rFonts w:eastAsia="Arial" w:cs="Arial"/>
          <w:sz w:val="24"/>
          <w:szCs w:val="24"/>
        </w:rPr>
        <w:t xml:space="preserve">            (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EE68D3">
      <w:pPr>
        <w:pStyle w:val="Standard"/>
        <w:spacing w:line="360" w:lineRule="auto"/>
        <w:jc w:val="both"/>
        <w:rPr>
          <w:rFonts w:eastAsia="Arial" w:cs="Arial"/>
          <w:sz w:val="24"/>
          <w:szCs w:val="24"/>
        </w:rPr>
      </w:pPr>
      <w:r>
        <w:rPr>
          <w:rFonts w:eastAsia="Arial" w:cs="Arial"/>
          <w:sz w:val="24"/>
          <w:szCs w:val="24"/>
        </w:rPr>
        <w:tab/>
        <w:t>Nome do membro: 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A11032" w:rsidRDefault="00EE68D3">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A11032" w:rsidRDefault="00A11032">
      <w:pPr>
        <w:pStyle w:val="Standard"/>
        <w:spacing w:line="360" w:lineRule="auto"/>
        <w:jc w:val="both"/>
        <w:rPr>
          <w:rFonts w:eastAsia="Arial" w:cs="Arial"/>
          <w:sz w:val="24"/>
          <w:szCs w:val="24"/>
        </w:rPr>
      </w:pPr>
    </w:p>
    <w:p w:rsidR="00A11032" w:rsidRDefault="00EE68D3">
      <w:pPr>
        <w:pStyle w:val="Standard"/>
        <w:spacing w:line="360" w:lineRule="auto"/>
        <w:jc w:val="center"/>
        <w:rPr>
          <w:sz w:val="24"/>
          <w:szCs w:val="24"/>
        </w:rPr>
      </w:pPr>
      <w:r>
        <w:rPr>
          <w:sz w:val="24"/>
          <w:szCs w:val="24"/>
        </w:rPr>
        <w:t xml:space="preserve">Brasília, ______ de _______________ </w:t>
      </w:r>
      <w:proofErr w:type="spellStart"/>
      <w:r>
        <w:rPr>
          <w:sz w:val="24"/>
          <w:szCs w:val="24"/>
        </w:rPr>
        <w:t>de</w:t>
      </w:r>
      <w:proofErr w:type="spellEnd"/>
      <w:r>
        <w:rPr>
          <w:sz w:val="24"/>
          <w:szCs w:val="24"/>
        </w:rPr>
        <w:t xml:space="preserve"> 2019.</w:t>
      </w:r>
    </w:p>
    <w:p w:rsidR="00371478" w:rsidRDefault="00371478">
      <w:pPr>
        <w:pStyle w:val="Standard"/>
        <w:spacing w:line="360" w:lineRule="auto"/>
        <w:jc w:val="center"/>
        <w:rPr>
          <w:sz w:val="24"/>
          <w:szCs w:val="24"/>
        </w:rPr>
      </w:pPr>
    </w:p>
    <w:p w:rsidR="00A11032" w:rsidRDefault="00EE68D3">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A11032" w:rsidRDefault="00EE68D3">
      <w:pPr>
        <w:pStyle w:val="Standard"/>
        <w:tabs>
          <w:tab w:val="left" w:pos="6492"/>
        </w:tabs>
        <w:spacing w:line="360" w:lineRule="auto"/>
        <w:ind w:left="723" w:hanging="360"/>
        <w:jc w:val="center"/>
        <w:rPr>
          <w:rFonts w:eastAsia="Times New Roman" w:cs="Times New Roman"/>
          <w:sz w:val="24"/>
          <w:szCs w:val="24"/>
        </w:rPr>
        <w:sectPr w:rsidR="00A11032">
          <w:headerReference w:type="default" r:id="rId23"/>
          <w:footerReference w:type="default" r:id="rId24"/>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5C6A30" w:rsidRDefault="005C6A30">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b/>
          <w:bCs/>
          <w:sz w:val="24"/>
          <w:szCs w:val="24"/>
          <w:u w:val="single"/>
        </w:rPr>
      </w:pPr>
    </w:p>
    <w:p w:rsidR="00A11032" w:rsidRDefault="00A11032">
      <w:pPr>
        <w:pStyle w:val="Standard"/>
        <w:tabs>
          <w:tab w:val="left" w:pos="0"/>
        </w:tabs>
        <w:spacing w:line="360" w:lineRule="auto"/>
        <w:jc w:val="center"/>
        <w:rPr>
          <w:b/>
          <w:bCs/>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 xml:space="preserve">ANEXO </w:t>
      </w:r>
      <w:r w:rsidR="00536C22">
        <w:rPr>
          <w:rFonts w:eastAsia="Arial" w:cs="Arial"/>
          <w:b/>
          <w:bCs/>
          <w:color w:val="000000"/>
          <w:spacing w:val="-3"/>
          <w:sz w:val="24"/>
          <w:szCs w:val="24"/>
          <w:u w:val="single"/>
        </w:rPr>
        <w:t>I</w:t>
      </w:r>
      <w:r>
        <w:rPr>
          <w:rFonts w:eastAsia="Arial" w:cs="Arial"/>
          <w:b/>
          <w:bCs/>
          <w:color w:val="000000"/>
          <w:spacing w:val="-3"/>
          <w:sz w:val="24"/>
          <w:szCs w:val="24"/>
          <w:u w:val="single"/>
        </w:rPr>
        <w:t>V</w:t>
      </w:r>
    </w:p>
    <w:p w:rsidR="00A11032" w:rsidRDefault="00A11032">
      <w:pPr>
        <w:pStyle w:val="Standard"/>
        <w:spacing w:line="360" w:lineRule="auto"/>
        <w:jc w:val="center"/>
        <w:rPr>
          <w:rFonts w:eastAsia="Arial" w:cs="Arial"/>
          <w:b/>
          <w:bCs/>
          <w:color w:val="000000"/>
          <w:spacing w:val="-3"/>
          <w:sz w:val="24"/>
          <w:szCs w:val="24"/>
          <w:u w:val="single"/>
        </w:rPr>
      </w:pP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MINUTA DE CONTRATO</w:t>
      </w:r>
    </w:p>
    <w:p w:rsidR="00A11032" w:rsidRDefault="00A11032">
      <w:pPr>
        <w:pStyle w:val="Standard"/>
        <w:spacing w:line="360" w:lineRule="auto"/>
        <w:jc w:val="center"/>
        <w:rPr>
          <w:rFonts w:eastAsia="Times New Roman" w:cs="Trebuchet MS"/>
          <w:b/>
          <w:bCs/>
          <w:color w:val="000000"/>
          <w:sz w:val="24"/>
          <w:szCs w:val="24"/>
          <w:u w:val="single"/>
        </w:rPr>
      </w:pPr>
    </w:p>
    <w:p w:rsidR="00A11032" w:rsidRDefault="00EE68D3">
      <w:pPr>
        <w:pStyle w:val="Standard"/>
        <w:spacing w:line="360" w:lineRule="auto"/>
        <w:jc w:val="center"/>
        <w:rPr>
          <w:rFonts w:eastAsia="Times New Roman" w:cs="Trebuchet MS"/>
          <w:b/>
          <w:bCs/>
          <w:color w:val="000000"/>
          <w:sz w:val="24"/>
          <w:szCs w:val="24"/>
          <w:u w:val="single"/>
        </w:rPr>
      </w:pPr>
      <w:r>
        <w:rPr>
          <w:rFonts w:eastAsia="Times New Roman" w:cs="Trebuchet MS"/>
          <w:b/>
          <w:bCs/>
          <w:color w:val="000000"/>
          <w:sz w:val="24"/>
          <w:szCs w:val="24"/>
          <w:u w:val="single"/>
        </w:rPr>
        <w:t>CONTRATO CNMP Nº        /2019</w:t>
      </w:r>
    </w:p>
    <w:p w:rsidR="00A11032" w:rsidRDefault="00A11032">
      <w:pPr>
        <w:pStyle w:val="Standard"/>
        <w:spacing w:line="360" w:lineRule="auto"/>
        <w:jc w:val="center"/>
        <w:rPr>
          <w:rFonts w:cs="Trebuchet MS"/>
          <w:sz w:val="24"/>
          <w:szCs w:val="24"/>
        </w:rPr>
      </w:pPr>
    </w:p>
    <w:p w:rsidR="00A11032" w:rsidRDefault="00EE68D3">
      <w:pPr>
        <w:pStyle w:val="Ttulo6"/>
        <w:spacing w:line="360" w:lineRule="auto"/>
        <w:ind w:left="4838"/>
        <w:jc w:val="both"/>
        <w:rPr>
          <w:rFonts w:ascii="Times New Roman" w:eastAsia="Times New Roman" w:hAnsi="Times New Roman" w:cs="Trebuchet MS"/>
          <w:bCs/>
          <w:color w:val="000000"/>
          <w:sz w:val="24"/>
          <w:szCs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A11032" w:rsidRDefault="00A11032">
      <w:pPr>
        <w:pStyle w:val="Standard"/>
        <w:spacing w:line="360" w:lineRule="auto"/>
        <w:jc w:val="both"/>
        <w:rPr>
          <w:rFonts w:cs="Trebuchet MS"/>
          <w:sz w:val="24"/>
          <w:szCs w:val="24"/>
        </w:rPr>
      </w:pPr>
    </w:p>
    <w:p w:rsidR="00A11032" w:rsidRDefault="00EE68D3">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pelos Decreto nº 3.555/2000,</w:t>
      </w:r>
      <w:r>
        <w:rPr>
          <w:rFonts w:eastAsia="CourierNewPSMT" w:cs="Trebuchet MS"/>
          <w:sz w:val="24"/>
          <w:szCs w:val="24"/>
        </w:rPr>
        <w:t xml:space="preserve"> Decreto nº 5.450/2005, pela </w:t>
      </w:r>
      <w:r>
        <w:rPr>
          <w:rFonts w:cs="Trebuchet MS"/>
          <w:sz w:val="24"/>
          <w:szCs w:val="24"/>
        </w:rPr>
        <w:t>Lei Complementar nº 123/2006  e demais normas pertinentes</w:t>
      </w:r>
      <w:r>
        <w:rPr>
          <w:rFonts w:eastAsia="Times New Roman" w:cs="Trebuchet MS"/>
          <w:color w:val="000000"/>
          <w:sz w:val="24"/>
          <w:szCs w:val="24"/>
        </w:rPr>
        <w:t>, têm entre si, justo e avençado, e celebram o presente Contrato, mediante as seguintes cláusulas e condições:</w:t>
      </w:r>
    </w:p>
    <w:p w:rsidR="00A11032" w:rsidRDefault="00A11032">
      <w:pPr>
        <w:pStyle w:val="Standard"/>
        <w:spacing w:line="360" w:lineRule="auto"/>
        <w:ind w:left="708" w:firstLine="709"/>
        <w:jc w:val="both"/>
        <w:rPr>
          <w:rFonts w:eastAsia="Arial" w:cs="Trebuchet MS"/>
          <w:b/>
          <w:bCs/>
          <w:sz w:val="24"/>
          <w:szCs w:val="24"/>
          <w:u w:val="single"/>
        </w:rPr>
      </w:pPr>
    </w:p>
    <w:p w:rsidR="00A11032" w:rsidRDefault="00EE68D3">
      <w:pPr>
        <w:pStyle w:val="Standard"/>
        <w:spacing w:line="360" w:lineRule="auto"/>
        <w:ind w:left="708" w:firstLine="709"/>
        <w:jc w:val="both"/>
        <w:rPr>
          <w:rFonts w:eastAsia="Arial" w:cs="Trebuchet MS"/>
          <w:b/>
          <w:bCs/>
          <w:sz w:val="24"/>
          <w:szCs w:val="24"/>
          <w:u w:val="single"/>
        </w:rPr>
      </w:pPr>
      <w:r>
        <w:rPr>
          <w:rFonts w:eastAsia="Arial" w:cs="Trebuchet MS"/>
          <w:b/>
          <w:bCs/>
          <w:sz w:val="24"/>
          <w:szCs w:val="24"/>
          <w:u w:val="single"/>
        </w:rPr>
        <w:t>CLÁUSULA PRIMEIRA – DO OBJETO</w:t>
      </w:r>
    </w:p>
    <w:p w:rsidR="00D845CA" w:rsidRDefault="00D845CA">
      <w:pPr>
        <w:pStyle w:val="Standard"/>
        <w:spacing w:line="360" w:lineRule="auto"/>
        <w:ind w:left="708" w:firstLine="709"/>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                       </w:t>
      </w:r>
    </w:p>
    <w:p w:rsidR="00A11032" w:rsidRDefault="00EE68D3">
      <w:pPr>
        <w:pStyle w:val="Standard"/>
        <w:tabs>
          <w:tab w:val="left" w:pos="2118"/>
        </w:tabs>
        <w:spacing w:line="360" w:lineRule="auto"/>
        <w:ind w:firstLine="1417"/>
        <w:jc w:val="both"/>
        <w:rPr>
          <w:rFonts w:eastAsia="Arial" w:cs="Trebuchet MS"/>
          <w:b/>
          <w:bCs/>
          <w:sz w:val="24"/>
          <w:szCs w:val="24"/>
          <w:u w:val="single"/>
        </w:rPr>
      </w:pPr>
      <w:r>
        <w:rPr>
          <w:rFonts w:eastAsia="Arial" w:cs="Trebuchet MS"/>
          <w:b/>
          <w:bCs/>
          <w:sz w:val="24"/>
          <w:szCs w:val="24"/>
          <w:u w:val="single"/>
        </w:rPr>
        <w:t>CLÁUSULA SEGUNDA – DO REGIME DE EXECUÇÃO</w:t>
      </w:r>
    </w:p>
    <w:p w:rsidR="00A11032" w:rsidRDefault="00A11032">
      <w:pPr>
        <w:pStyle w:val="Standard"/>
        <w:tabs>
          <w:tab w:val="left" w:pos="2118"/>
        </w:tabs>
        <w:spacing w:line="360" w:lineRule="auto"/>
        <w:ind w:firstLine="1417"/>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forma de execução do presente Contrato será indireta, sob o regime de empreitada por preço </w:t>
      </w:r>
      <w:r w:rsidR="00371478">
        <w:rPr>
          <w:rFonts w:cs="Trebuchet MS"/>
          <w:sz w:val="24"/>
          <w:szCs w:val="24"/>
        </w:rPr>
        <w:t>unitário</w:t>
      </w:r>
      <w:r>
        <w:rPr>
          <w:rFonts w:cs="Trebuchet MS"/>
          <w:sz w:val="24"/>
          <w:szCs w:val="24"/>
        </w:rPr>
        <w:t>, conforme disposto na Lei n° 8.666/1993.</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courier"/>
        <w:tabs>
          <w:tab w:val="left" w:pos="993"/>
        </w:tabs>
        <w:spacing w:line="360" w:lineRule="auto"/>
        <w:ind w:firstLine="1417"/>
        <w:rPr>
          <w:rFonts w:cs="Trebuchet MS"/>
          <w:b/>
          <w:bCs/>
          <w:sz w:val="24"/>
          <w:szCs w:val="24"/>
          <w:u w:val="single"/>
        </w:rPr>
      </w:pPr>
      <w:r>
        <w:rPr>
          <w:rFonts w:cs="Trebuchet MS"/>
          <w:b/>
          <w:bCs/>
          <w:sz w:val="24"/>
          <w:szCs w:val="24"/>
          <w:u w:val="single"/>
        </w:rPr>
        <w:lastRenderedPageBreak/>
        <w:t>CLÁUSULA TERCEIRA – DAS OBRIGAÇÕES DO CONTRATANTE</w:t>
      </w:r>
    </w:p>
    <w:p w:rsidR="00A11032" w:rsidRPr="00495F71" w:rsidRDefault="00A11032">
      <w:pPr>
        <w:pStyle w:val="courier"/>
        <w:tabs>
          <w:tab w:val="left" w:pos="993"/>
        </w:tabs>
        <w:spacing w:line="360" w:lineRule="auto"/>
        <w:ind w:firstLine="1417"/>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cs="Trebuchet MS"/>
          <w:color w:val="000000"/>
          <w:sz w:val="24"/>
          <w:szCs w:val="24"/>
        </w:rPr>
      </w:pPr>
      <w:r w:rsidRPr="00495F71">
        <w:rPr>
          <w:rFonts w:cs="Trebuchet MS"/>
          <w:color w:val="000000"/>
          <w:sz w:val="24"/>
          <w:szCs w:val="24"/>
        </w:rPr>
        <w:t>Constituem obrigações do CONTRATANTE, sem prejuízo das disposições específicas estabelecidas do Edital e ou do Termo de Referência:</w:t>
      </w:r>
    </w:p>
    <w:p w:rsidR="00495F71" w:rsidRPr="00495F71" w:rsidRDefault="00495F71" w:rsidP="00495F71">
      <w:pPr>
        <w:pStyle w:val="Standard"/>
        <w:numPr>
          <w:ilvl w:val="0"/>
          <w:numId w:val="133"/>
        </w:numPr>
        <w:tabs>
          <w:tab w:val="left" w:pos="284"/>
        </w:tabs>
        <w:autoSpaceDN/>
        <w:spacing w:line="360" w:lineRule="auto"/>
        <w:jc w:val="both"/>
        <w:rPr>
          <w:rFonts w:ascii="Trebuchet MS" w:hAnsi="Trebuchet MS"/>
          <w:sz w:val="24"/>
          <w:szCs w:val="24"/>
        </w:rPr>
      </w:pPr>
      <w:r w:rsidRPr="00495F71">
        <w:rPr>
          <w:sz w:val="24"/>
          <w:szCs w:val="24"/>
        </w:rPr>
        <w:t xml:space="preserve">     Cumprir e fazer cumprir o disposto neste Contrato;</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Relacionar-se com a CONTRATADA exclusivamente por meio de pessoa por ela indicada;</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Assegurar o livre acesso dos empregados da CONTRATADA, quando devidamente identificados e uniformizados, aos locais em que devam executar suas tarefas;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sz w:val="24"/>
          <w:szCs w:val="24"/>
        </w:rPr>
      </w:pPr>
      <w:r w:rsidRPr="00495F71">
        <w:rPr>
          <w:rFonts w:cs="Trebuchet MS"/>
          <w:sz w:val="24"/>
          <w:szCs w:val="24"/>
        </w:rPr>
        <w:t>Efetuar, com pontualidade, os pagamentos à CONTRATADA, após o cumprimento das formalidades legais;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Fornecer à CONTRATADA, todos os esclarecimentos necessários para execução dos serviços e demais informações que estes venham a solicitar para o desempenho dos serviços ora contratados.</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b/>
          <w:sz w:val="24"/>
          <w:szCs w:val="24"/>
        </w:rPr>
        <w:t>Parágrafo Primeiro</w:t>
      </w:r>
      <w:r w:rsidRPr="00495F71">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tabs>
          <w:tab w:val="left" w:pos="993"/>
        </w:tabs>
        <w:spacing w:line="360" w:lineRule="auto"/>
        <w:ind w:firstLine="1418"/>
        <w:jc w:val="both"/>
        <w:rPr>
          <w:rFonts w:ascii="Trebuchet MS" w:hAnsi="Trebuchet MS"/>
          <w:sz w:val="24"/>
          <w:szCs w:val="24"/>
        </w:rPr>
      </w:pPr>
      <w:proofErr w:type="gramStart"/>
      <w:r w:rsidRPr="00495F71">
        <w:rPr>
          <w:rFonts w:cs="Trebuchet MS"/>
          <w:b/>
          <w:sz w:val="24"/>
          <w:szCs w:val="24"/>
        </w:rPr>
        <w:t>Parágrafo</w:t>
      </w:r>
      <w:r w:rsidR="00371478">
        <w:rPr>
          <w:rFonts w:cs="Trebuchet MS"/>
          <w:b/>
          <w:sz w:val="24"/>
          <w:szCs w:val="24"/>
        </w:rPr>
        <w:t xml:space="preserve"> </w:t>
      </w:r>
      <w:r w:rsidRPr="00495F71">
        <w:rPr>
          <w:rFonts w:cs="Trebuchet MS"/>
          <w:b/>
          <w:sz w:val="24"/>
          <w:szCs w:val="24"/>
        </w:rPr>
        <w:t>Segundo</w:t>
      </w:r>
      <w:proofErr w:type="gramEnd"/>
      <w:r w:rsidRPr="00495F71">
        <w:rPr>
          <w:rFonts w:cs="Trebuchet MS"/>
          <w:sz w:val="24"/>
          <w:szCs w:val="24"/>
        </w:rPr>
        <w:t xml:space="preserve"> – O CONTRATANTE</w:t>
      </w:r>
      <w:r w:rsidRPr="00495F71">
        <w:rPr>
          <w:rFonts w:cs="Trebuchet MS"/>
          <w:b/>
          <w:sz w:val="24"/>
          <w:szCs w:val="24"/>
        </w:rPr>
        <w:t xml:space="preserve"> </w:t>
      </w:r>
      <w:r w:rsidRPr="00495F71">
        <w:rPr>
          <w:rFonts w:cs="Trebuchet MS"/>
          <w:sz w:val="24"/>
          <w:szCs w:val="24"/>
        </w:rPr>
        <w:t>efetuará a fiscalização e o acompanhamento da execução dos serviços por meio</w:t>
      </w:r>
      <w:r w:rsidRPr="00495F71">
        <w:rPr>
          <w:rFonts w:cs="Trebuchet MS"/>
          <w:b/>
          <w:sz w:val="24"/>
          <w:szCs w:val="24"/>
        </w:rPr>
        <w:t xml:space="preserve"> </w:t>
      </w:r>
      <w:r w:rsidRPr="00495F71">
        <w:rPr>
          <w:rFonts w:cs="Trebuchet MS"/>
          <w:sz w:val="24"/>
          <w:szCs w:val="24"/>
        </w:rPr>
        <w:t>do Gestor/Fiscal do Contrato, devendo este fazer anotações e registros de todas as ocorrências e determinar o que for necessário à regularização das falhas ou defeitos observados.</w:t>
      </w:r>
    </w:p>
    <w:p w:rsidR="00A11032" w:rsidRDefault="00A11032">
      <w:pPr>
        <w:pStyle w:val="Standard"/>
        <w:tabs>
          <w:tab w:val="left" w:pos="993"/>
        </w:tabs>
        <w:spacing w:line="360" w:lineRule="auto"/>
        <w:ind w:firstLine="1418"/>
        <w:jc w:val="both"/>
        <w:rPr>
          <w:rFonts w:cs="Trebuchet MS"/>
          <w:sz w:val="24"/>
          <w:szCs w:val="24"/>
        </w:rPr>
      </w:pPr>
    </w:p>
    <w:p w:rsidR="00A11032" w:rsidRDefault="00EE68D3">
      <w:pPr>
        <w:pStyle w:val="Standard"/>
        <w:tabs>
          <w:tab w:val="left" w:pos="993"/>
        </w:tabs>
        <w:spacing w:line="360" w:lineRule="auto"/>
        <w:ind w:firstLine="1418"/>
        <w:jc w:val="both"/>
        <w:rPr>
          <w:rFonts w:cs="Trebuchet MS"/>
          <w:b/>
          <w:bCs/>
          <w:sz w:val="24"/>
          <w:szCs w:val="24"/>
          <w:u w:val="single"/>
        </w:rPr>
      </w:pPr>
      <w:r>
        <w:rPr>
          <w:rFonts w:cs="Trebuchet MS"/>
          <w:b/>
          <w:bCs/>
          <w:sz w:val="24"/>
          <w:szCs w:val="24"/>
          <w:u w:val="single"/>
        </w:rPr>
        <w:t>CLÁUSULA QUARTA – DAS OBRIGAÇÕES DA CONTRATADA</w:t>
      </w:r>
    </w:p>
    <w:p w:rsidR="00A11032" w:rsidRDefault="00A11032">
      <w:pPr>
        <w:pStyle w:val="Standard"/>
        <w:tabs>
          <w:tab w:val="left" w:pos="993"/>
        </w:tabs>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sz w:val="24"/>
          <w:szCs w:val="24"/>
        </w:rPr>
        <w:t xml:space="preserve">A CONTRATADA se obriga a cumprir fielmente o estipulado no presente instrumento, bem como </w:t>
      </w:r>
      <w:r w:rsidRPr="00495F71">
        <w:rPr>
          <w:rFonts w:cs="Trebuchet MS"/>
          <w:color w:val="000000"/>
          <w:sz w:val="24"/>
          <w:szCs w:val="24"/>
        </w:rPr>
        <w:t>as obrigações específicas estabelecidas do Edital e ou do Termo de Referência</w:t>
      </w:r>
      <w:r w:rsidRPr="00495F71">
        <w:rPr>
          <w:rFonts w:cs="Trebuchet MS"/>
          <w:sz w:val="24"/>
          <w:szCs w:val="24"/>
        </w:rPr>
        <w:t xml:space="preserve"> e, ainda, em especial:</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sz w:val="24"/>
          <w:szCs w:val="24"/>
        </w:rPr>
        <w:lastRenderedPageBreak/>
        <w:t>Executar os serviços contratados em conformidade com o Termo de Referência – Anexo I do Edital, o qual fornece todas as orientações do CONTRATANTE;</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Prestar todos os esclarecimentos que lhe forem solicitados pelo CONTRATANTE, atendendo prontamente a todas as reclamações;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Relacionar-se com o CONTRATANTE, exclusivamente, por meio do Gestor/Fiscal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Indicar, formalmente, preposto devidamente credenciado, visando a estabelecer contatos com o representante do CONTRATANTE durante a vigência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495F71">
        <w:rPr>
          <w:rFonts w:cs="Trebuchet MS"/>
          <w:sz w:val="24"/>
          <w:szCs w:val="24"/>
        </w:rPr>
        <w:t>referem-se</w:t>
      </w:r>
      <w:proofErr w:type="gramEnd"/>
      <w:r w:rsidRPr="00495F71">
        <w:rPr>
          <w:rFonts w:cs="Trebuchet MS"/>
          <w:sz w:val="24"/>
          <w:szCs w:val="24"/>
        </w:rPr>
        <w:t xml:space="preserve"> aos empregados utilizados na execução deste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Não transferir a outrem, no todo ou em parte, o objeto do Contrato, </w:t>
      </w:r>
      <w:r w:rsidRPr="00495F71">
        <w:rPr>
          <w:rFonts w:cs="Trebuchet MS"/>
          <w:b/>
          <w:bCs/>
          <w:sz w:val="24"/>
          <w:szCs w:val="24"/>
        </w:rPr>
        <w:t>sem prévia e expressa anuência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caucionar ou utilizar o Contrato para qualquer operação financeira, sob pena de rescisão contratual;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lastRenderedPageBreak/>
        <w:t>Manter durante a vigência do Contrato todas as condições de habilitação e qualificação exigidas na licitação;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Instalar, no prazo de 60 (sessenta) dias, a contar da assinatura deste Contrato, escritório localizado no Distrito Federal.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Disponibilizar uma conta </w:t>
      </w:r>
      <w:r w:rsidRPr="00495F71">
        <w:rPr>
          <w:rFonts w:cs="Trebuchet MS"/>
          <w:i/>
          <w:sz w:val="24"/>
          <w:szCs w:val="24"/>
        </w:rPr>
        <w:t>e-mail</w:t>
      </w:r>
      <w:r w:rsidRPr="00495F71">
        <w:rPr>
          <w:rFonts w:cs="Trebuchet MS"/>
          <w:sz w:val="24"/>
          <w:szCs w:val="24"/>
        </w:rPr>
        <w:t xml:space="preserve"> para fins de comunicação entre as partes, e manter atualizados o endereço comercial e os números de telefone e de fax;</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Comunicar, por escrito, eventual atraso ou paralisação dos serviços, apresentando razões justificadoras a serem apreciadas pelo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por todo e qualquer acidente do trabalho, dano ou prejuízo causado ao patrimônio do CONTRATANTE ou de terceiros, decorrente da execução do serviço contratado;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Apresentar os documentos fiscais de cobrança em conformidade com o estabelecido neste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Independente de declaração expressa, cientificar-se e submeter-se, no que couber, ao disposto no CÓDIGO DE ÉTICA DO CNMP, estabelecido pela Portaria CNMP-PRESI Nº 44, de 9 de abril de 2018.</w:t>
      </w:r>
    </w:p>
    <w:p w:rsidR="00A11032" w:rsidRDefault="00EE68D3">
      <w:pPr>
        <w:pStyle w:val="Standard"/>
        <w:tabs>
          <w:tab w:val="left" w:pos="284"/>
        </w:tabs>
        <w:suppressAutoHyphens w:val="0"/>
        <w:spacing w:line="360" w:lineRule="auto"/>
        <w:ind w:firstLine="1417"/>
        <w:jc w:val="both"/>
        <w:rPr>
          <w:rFonts w:cs="Trebuchet MS"/>
          <w:sz w:val="24"/>
          <w:szCs w:val="24"/>
        </w:rPr>
      </w:pPr>
      <w:r>
        <w:rPr>
          <w:rFonts w:cs="Trebuchet MS"/>
          <w:sz w:val="24"/>
          <w:szCs w:val="24"/>
        </w:rPr>
        <w:tab/>
      </w:r>
      <w:r>
        <w:rPr>
          <w:rFonts w:cs="Trebuchet MS"/>
          <w:sz w:val="24"/>
          <w:szCs w:val="24"/>
        </w:rPr>
        <w:tab/>
      </w:r>
      <w:r>
        <w:rPr>
          <w:rFonts w:cs="Trebuchet MS"/>
          <w:sz w:val="24"/>
          <w:szCs w:val="24"/>
        </w:rPr>
        <w:tab/>
      </w:r>
    </w:p>
    <w:p w:rsidR="00A11032" w:rsidRDefault="00EE68D3">
      <w:pPr>
        <w:pStyle w:val="Standard"/>
        <w:tabs>
          <w:tab w:val="left" w:pos="284"/>
        </w:tabs>
        <w:suppressAutoHyphens w:val="0"/>
        <w:spacing w:line="360" w:lineRule="auto"/>
        <w:ind w:firstLine="1417"/>
        <w:jc w:val="both"/>
      </w:pPr>
      <w:r>
        <w:rPr>
          <w:rFonts w:cs="Trebuchet MS"/>
          <w:b/>
          <w:bCs/>
          <w:sz w:val="24"/>
          <w:szCs w:val="24"/>
        </w:rPr>
        <w:t xml:space="preserve"> </w:t>
      </w:r>
      <w:r>
        <w:rPr>
          <w:rFonts w:cs="Trebuchet MS"/>
          <w:b/>
          <w:bCs/>
          <w:sz w:val="24"/>
          <w:szCs w:val="24"/>
          <w:u w:val="single"/>
        </w:rPr>
        <w:t>CLÁUSULA QUINTA – DO PRAZO DE VIGÊNCIA</w:t>
      </w:r>
    </w:p>
    <w:p w:rsidR="00A11032" w:rsidRDefault="00A11032">
      <w:pPr>
        <w:pStyle w:val="Standard"/>
        <w:tabs>
          <w:tab w:val="left" w:pos="426"/>
        </w:tabs>
        <w:spacing w:line="360" w:lineRule="auto"/>
        <w:rPr>
          <w:rFonts w:cs="Trebuchet MS"/>
          <w:sz w:val="24"/>
          <w:szCs w:val="24"/>
        </w:rPr>
      </w:pPr>
    </w:p>
    <w:p w:rsidR="00A11032" w:rsidRDefault="00EE68D3">
      <w:pPr>
        <w:pStyle w:val="Standard"/>
        <w:tabs>
          <w:tab w:val="left" w:pos="1535"/>
          <w:tab w:val="center" w:pos="4455"/>
          <w:tab w:val="right" w:pos="8874"/>
        </w:tabs>
        <w:spacing w:line="360" w:lineRule="auto"/>
        <w:ind w:left="36" w:firstLine="1391"/>
        <w:jc w:val="both"/>
        <w:rPr>
          <w:rFonts w:eastAsia="Arial" w:cs="Trebuchet MS"/>
          <w:sz w:val="24"/>
          <w:szCs w:val="24"/>
        </w:rPr>
      </w:pPr>
      <w:r>
        <w:rPr>
          <w:rFonts w:eastAsia="Arial" w:cs="Trebuchet MS"/>
          <w:sz w:val="24"/>
          <w:szCs w:val="24"/>
        </w:rPr>
        <w:lastRenderedPageBreak/>
        <w:t xml:space="preserve">O presente contrato terá vigência de </w:t>
      </w:r>
      <w:r w:rsidR="00E06CD2">
        <w:rPr>
          <w:rFonts w:eastAsia="Arial" w:cs="Trebuchet MS"/>
          <w:sz w:val="24"/>
          <w:szCs w:val="24"/>
        </w:rPr>
        <w:t>36</w:t>
      </w:r>
      <w:r>
        <w:rPr>
          <w:rFonts w:eastAsia="Arial" w:cs="Trebuchet MS"/>
          <w:sz w:val="24"/>
          <w:szCs w:val="24"/>
        </w:rPr>
        <w:t xml:space="preserve"> (</w:t>
      </w:r>
      <w:r w:rsidR="00E06CD2">
        <w:rPr>
          <w:rFonts w:eastAsia="Arial" w:cs="Trebuchet MS"/>
          <w:sz w:val="24"/>
          <w:szCs w:val="24"/>
        </w:rPr>
        <w:t>trinta e seis</w:t>
      </w:r>
      <w:r>
        <w:rPr>
          <w:rFonts w:eastAsia="Arial" w:cs="Trebuchet MS"/>
          <w:sz w:val="24"/>
          <w:szCs w:val="24"/>
        </w:rPr>
        <w:t>) meses, a partir da data de sua assinatura, não podendo ser prorrogado.</w:t>
      </w:r>
    </w:p>
    <w:p w:rsidR="00A11032" w:rsidRDefault="00A11032">
      <w:pPr>
        <w:pStyle w:val="Standard"/>
        <w:tabs>
          <w:tab w:val="left" w:pos="993"/>
        </w:tabs>
        <w:spacing w:line="360" w:lineRule="auto"/>
        <w:ind w:firstLine="1418"/>
        <w:jc w:val="both"/>
        <w:rPr>
          <w:rFonts w:cs="Trebuchet MS"/>
          <w:b/>
          <w:bCs/>
          <w:sz w:val="24"/>
          <w:szCs w:val="24"/>
          <w:u w:val="single"/>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SEXTA – DO VALOR</w:t>
      </w:r>
    </w:p>
    <w:p w:rsidR="00A11032" w:rsidRDefault="00A11032">
      <w:pPr>
        <w:pStyle w:val="Standard"/>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w:t>
      </w:r>
      <w:r w:rsidR="00495F71">
        <w:rPr>
          <w:rFonts w:eastAsia="Arial-BoldMT" w:cs="Trebuchet MS"/>
          <w:sz w:val="24"/>
          <w:szCs w:val="24"/>
        </w:rPr>
        <w:t>a contratação será conforme tabela abaixo:</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 anual</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lastRenderedPageBreak/>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ind w:firstLine="1417"/>
        <w:jc w:val="both"/>
        <w:rPr>
          <w:rFonts w:eastAsia="Arial-BoldMT" w:cs="Trebuchet MS"/>
          <w:b/>
          <w:bCs/>
          <w:sz w:val="24"/>
          <w:szCs w:val="24"/>
          <w:u w:val="single"/>
        </w:rPr>
      </w:pPr>
    </w:p>
    <w:p w:rsidR="00371478" w:rsidRDefault="00371478">
      <w:pPr>
        <w:pStyle w:val="Standard"/>
        <w:spacing w:line="360" w:lineRule="auto"/>
        <w:ind w:firstLine="1417"/>
        <w:jc w:val="both"/>
        <w:rPr>
          <w:rFonts w:eastAsia="Arial-BoldMT" w:cs="Trebuchet MS"/>
          <w:b/>
          <w:bCs/>
          <w:sz w:val="24"/>
          <w:szCs w:val="24"/>
          <w:u w:val="single"/>
        </w:rPr>
      </w:pPr>
    </w:p>
    <w:p w:rsidR="00A11032" w:rsidRDefault="00EE68D3">
      <w:pPr>
        <w:pStyle w:val="Standard"/>
        <w:spacing w:line="360" w:lineRule="auto"/>
        <w:ind w:firstLine="1417"/>
        <w:jc w:val="both"/>
        <w:rPr>
          <w:rFonts w:eastAsia="Arial-BoldMT" w:cs="Trebuchet MS"/>
          <w:b/>
          <w:bCs/>
          <w:sz w:val="24"/>
          <w:szCs w:val="24"/>
          <w:u w:val="single"/>
        </w:rPr>
      </w:pPr>
      <w:r>
        <w:rPr>
          <w:rFonts w:eastAsia="Arial-BoldMT" w:cs="Trebuchet MS"/>
          <w:b/>
          <w:bCs/>
          <w:sz w:val="24"/>
          <w:szCs w:val="24"/>
          <w:u w:val="single"/>
        </w:rPr>
        <w:t>CLÁUSULA SÉTIMA -  DO PAGAMENT</w:t>
      </w:r>
      <w:r w:rsidR="0083304B">
        <w:rPr>
          <w:rFonts w:eastAsia="Arial-BoldMT" w:cs="Trebuchet MS"/>
          <w:b/>
          <w:bCs/>
          <w:sz w:val="24"/>
          <w:szCs w:val="24"/>
          <w:u w:val="single"/>
        </w:rPr>
        <w:t>O</w:t>
      </w:r>
    </w:p>
    <w:p w:rsidR="00A11032" w:rsidRDefault="00A11032">
      <w:pPr>
        <w:pStyle w:val="Standard"/>
        <w:spacing w:line="360" w:lineRule="auto"/>
        <w:ind w:firstLine="1417"/>
        <w:jc w:val="both"/>
        <w:rPr>
          <w:rFonts w:eastAsia="Arial-BoldMT" w:cs="Trebuchet MS"/>
          <w:b/>
          <w:bCs/>
          <w:sz w:val="24"/>
          <w:szCs w:val="24"/>
        </w:rPr>
      </w:pPr>
    </w:p>
    <w:p w:rsidR="00A11032" w:rsidRDefault="00EE68D3">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371478">
        <w:rPr>
          <w:rFonts w:cs="Arial"/>
          <w:color w:val="000000"/>
          <w:sz w:val="24"/>
          <w:szCs w:val="24"/>
        </w:rPr>
        <w:t xml:space="preserve"> e em conformidade com o estabelecido no item 08 do Termo de Referência, anexo I do Edital.</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11032" w:rsidRDefault="00A11032">
      <w:pPr>
        <w:pStyle w:val="Standard"/>
        <w:autoSpaceDE w:val="0"/>
        <w:spacing w:line="360" w:lineRule="auto"/>
        <w:ind w:firstLine="1417"/>
        <w:jc w:val="both"/>
        <w:rPr>
          <w:rFonts w:cs="Trebuchet MS"/>
          <w:sz w:val="24"/>
          <w:szCs w:val="24"/>
        </w:rPr>
      </w:pP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quarto. A CONTRATADA deverá, ainda, juntamente à Nota Fiscal / Fatura, apresentar os documentos comprobatórios de regularidade fiscal e trabalhista, exigidos no Edital de Licitação.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rPr>
          <w:rFonts w:cs="Trebuchet MS"/>
          <w:sz w:val="24"/>
          <w:szCs w:val="24"/>
        </w:rPr>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 w:cs="Trebuchet MS"/>
          <w:b/>
          <w:bCs/>
          <w:sz w:val="24"/>
          <w:szCs w:val="24"/>
          <w:u w:val="single"/>
        </w:rPr>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lastRenderedPageBreak/>
        <w:t>Em que:</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93.872/86.</w:t>
      </w:r>
    </w:p>
    <w:p w:rsidR="00A11032" w:rsidRDefault="00A11032">
      <w:pPr>
        <w:pStyle w:val="Standard"/>
        <w:autoSpaceDE w:val="0"/>
        <w:spacing w:line="360" w:lineRule="auto"/>
        <w:jc w:val="both"/>
        <w:rPr>
          <w:rFonts w:eastAsia="Arial" w:cs="Trebuchet MS"/>
          <w:b/>
          <w:bCs/>
          <w:sz w:val="24"/>
          <w:szCs w:val="24"/>
          <w:u w:val="single"/>
        </w:rPr>
      </w:pPr>
    </w:p>
    <w:p w:rsidR="00A11032" w:rsidRPr="00ED062C" w:rsidRDefault="00ED062C">
      <w:pPr>
        <w:pStyle w:val="Standard"/>
        <w:ind w:firstLine="709"/>
        <w:rPr>
          <w:b/>
          <w:sz w:val="24"/>
          <w:szCs w:val="24"/>
          <w:u w:val="single"/>
        </w:rPr>
      </w:pPr>
      <w:r w:rsidRPr="00ED062C">
        <w:rPr>
          <w:b/>
          <w:sz w:val="24"/>
          <w:szCs w:val="24"/>
        </w:rPr>
        <w:tab/>
      </w:r>
      <w:r w:rsidR="00EE68D3" w:rsidRPr="00ED062C">
        <w:rPr>
          <w:b/>
          <w:sz w:val="24"/>
          <w:szCs w:val="24"/>
          <w:u w:val="single"/>
        </w:rPr>
        <w:t>CLÁUSULA OITAVA – DA DOTAÇÃO ORÇAMENTÁRIA</w:t>
      </w:r>
    </w:p>
    <w:p w:rsidR="00495F71" w:rsidRPr="00ED062C" w:rsidRDefault="00495F71">
      <w:pPr>
        <w:pStyle w:val="Standard"/>
        <w:ind w:firstLine="709"/>
        <w:rPr>
          <w:u w:val="single"/>
        </w:rPr>
      </w:pPr>
    </w:p>
    <w:p w:rsidR="00A11032" w:rsidRDefault="00A11032">
      <w:pPr>
        <w:pStyle w:val="Standard"/>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sz w:val="24"/>
          <w:szCs w:val="24"/>
        </w:rPr>
        <w:t>igual  natureza</w:t>
      </w:r>
      <w:proofErr w:type="gramEnd"/>
      <w:r>
        <w:rPr>
          <w:rFonts w:cs="Trebuchet MS"/>
          <w:color w:val="000000"/>
          <w:sz w:val="24"/>
          <w:szCs w:val="24"/>
        </w:rPr>
        <w:t>.</w:t>
      </w:r>
    </w:p>
    <w:p w:rsidR="00A11032" w:rsidRDefault="00A11032">
      <w:pPr>
        <w:pStyle w:val="Standard"/>
        <w:spacing w:line="360" w:lineRule="auto"/>
        <w:ind w:firstLine="1417"/>
        <w:jc w:val="both"/>
        <w:rPr>
          <w:rFonts w:cs="Trebuchet MS"/>
          <w:color w:val="000000"/>
          <w:sz w:val="24"/>
          <w:szCs w:val="24"/>
        </w:rPr>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p>
    <w:p w:rsidR="00A11032" w:rsidRDefault="00A11032">
      <w:pPr>
        <w:pStyle w:val="Standard"/>
        <w:tabs>
          <w:tab w:val="left" w:pos="0"/>
        </w:tabs>
        <w:autoSpaceDE w:val="0"/>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NONA - DAS RESPONSABILIDADES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DEZ – DO RECURSO</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ONZE – DAS PENALIDADES E RECURSOS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ab/>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sz w:val="24"/>
          <w:szCs w:val="24"/>
        </w:rPr>
      </w:pPr>
      <w:r>
        <w:rPr>
          <w:sz w:val="24"/>
          <w:szCs w:val="24"/>
        </w:rPr>
        <w:t>Parágrafo quarto. As multas aplicadas serão deduzidas do valor do pagamento devido ao licitante vencedor, quando possível, ou por via de procedimento extrajudicial ou judicial, conforme o caso.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w:t>
      </w:r>
      <w:r>
        <w:rPr>
          <w:rFonts w:eastAsia="Arial" w:cs="Trebuchet MS"/>
          <w:color w:val="000000"/>
          <w:sz w:val="24"/>
          <w:szCs w:val="24"/>
        </w:rPr>
        <w:lastRenderedPageBreak/>
        <w:t>do art. 86 e § 1º do art. 87 da Lei n.º 8.666/93, acrescida de juros moratórios de 1,0% (um por cento) ao mês.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tenham sofrido condenação definitiva por praticarem, por meios dolosos, fraudes fiscais no recolhimento de quaisquer tributos;</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b) tenham praticado atos ilícitos visando a frustrar os objetivos da licitação;</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c) demonstrem não possuir idoneidade para contratar com a Administração em virtude de atos ilícitos praticados.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D062C" w:rsidRDefault="00ED062C">
      <w:pPr>
        <w:pStyle w:val="Standard"/>
        <w:tabs>
          <w:tab w:val="left" w:pos="0"/>
        </w:tabs>
        <w:spacing w:line="360" w:lineRule="auto"/>
        <w:ind w:firstLine="1417"/>
        <w:jc w:val="both"/>
        <w:rPr>
          <w:rFonts w:eastAsia="Arial" w:cs="Trebuchet MS"/>
          <w:color w:val="000000"/>
          <w:sz w:val="24"/>
          <w:szCs w:val="24"/>
        </w:rPr>
      </w:pPr>
    </w:p>
    <w:p w:rsidR="00A11032" w:rsidRPr="00ED062C" w:rsidRDefault="00EE68D3">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rsidR="00A11032" w:rsidRDefault="00A11032">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 inexecução total ou parcial do Contrato poderá ensejar a sua rescisão, conforme disposto nos artigos 77 a 80 da Lei nº 8.666/1993.</w:t>
      </w:r>
    </w:p>
    <w:p w:rsidR="008F28A6" w:rsidRDefault="008F28A6">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Parágrafo primeiro. Os casos de rescisão contratual serão formalmente motivados nos autos do procedimento, assegurado o contraditório e a ampla defesa.</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b) Amigável, por acordo entre as partes, mediante a assinatura de termo aditivo ao contrato, desde que haja conveniência para o CONTRATANTE; e</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c) Judicial, nos termos da legislação.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terceiro. A rescisão unilateral ou amigável deverá ser precedida de autorização escrita e fundamentada da autoridade competente.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Parágrafo quarto. De conformidade com o § 2º do artigo 79, da Lei nº 8.666/93, quando a rescisão ocorrer com base nos incisos XII a XVII do artigo 78 da mesma lei, sem que haja </w:t>
      </w:r>
      <w:r>
        <w:rPr>
          <w:rFonts w:cs="Trebuchet MS"/>
          <w:color w:val="000000"/>
          <w:sz w:val="24"/>
          <w:szCs w:val="24"/>
        </w:rPr>
        <w:lastRenderedPageBreak/>
        <w:t>culpa da CONTRATADA, será esta ressarcida dos prejuízos regularmente comprovados que houver sofrido, tendo ainda direito a:</w:t>
      </w:r>
    </w:p>
    <w:p w:rsidR="00495F71" w:rsidRDefault="00495F71">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a) Devolução de garantia, se houver;</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b) Pagamentos devidos pela execução do contrato até a data da rescisão;</w:t>
      </w:r>
    </w:p>
    <w:p w:rsidR="00A11032" w:rsidRDefault="00EE68D3">
      <w:pPr>
        <w:pStyle w:val="Standard"/>
        <w:tabs>
          <w:tab w:val="left" w:pos="0"/>
        </w:tabs>
        <w:spacing w:line="360" w:lineRule="auto"/>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r>
      <w:r>
        <w:rPr>
          <w:rFonts w:cs="Trebuchet MS"/>
          <w:color w:val="000000"/>
          <w:sz w:val="24"/>
          <w:szCs w:val="24"/>
        </w:rPr>
        <w:tab/>
        <w:t>c) Pagamento do custo de desmobilização.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495F71" w:rsidRDefault="00495F71">
      <w:pPr>
        <w:pStyle w:val="Standard"/>
        <w:tabs>
          <w:tab w:val="left" w:pos="0"/>
        </w:tabs>
        <w:spacing w:line="360" w:lineRule="auto"/>
        <w:ind w:firstLine="1445"/>
        <w:jc w:val="both"/>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a) Execução da garantia contratual para ressarcimento, ao CONTRATANTE, dos valores das multas aplicadas ou de quaisquer outras quantias ou indenizações a ela devidas;</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b) Retenção dos créditos decorrentes do Contrato, até o limite dos prejuízos causados ao CONTRATANTE.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TREZE – DA ALTERAÇÃO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A11032" w:rsidRDefault="00EE68D3">
      <w:pPr>
        <w:pStyle w:val="Standard"/>
        <w:spacing w:line="360" w:lineRule="auto"/>
        <w:ind w:firstLine="1417"/>
        <w:jc w:val="both"/>
        <w:rPr>
          <w:rFonts w:eastAsia="Arial" w:cs="Trebuchet MS"/>
          <w:sz w:val="24"/>
          <w:szCs w:val="24"/>
        </w:rPr>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QUATORZE –</w:t>
      </w:r>
      <w:r w:rsidR="00495F71">
        <w:rPr>
          <w:rFonts w:cs="Trebuchet MS"/>
          <w:b/>
          <w:sz w:val="24"/>
          <w:szCs w:val="24"/>
          <w:u w:val="single"/>
        </w:rPr>
        <w:t xml:space="preserve"> </w:t>
      </w:r>
      <w:r>
        <w:rPr>
          <w:rFonts w:cs="Trebuchet MS"/>
          <w:b/>
          <w:sz w:val="24"/>
          <w:szCs w:val="24"/>
          <w:u w:val="single"/>
        </w:rPr>
        <w:t>DA PUBLICIDADE</w:t>
      </w:r>
    </w:p>
    <w:p w:rsidR="00A11032" w:rsidRDefault="00A11032" w:rsidP="00495F71">
      <w:pPr>
        <w:pStyle w:val="Textbody"/>
        <w:spacing w:after="0" w:line="360" w:lineRule="auto"/>
        <w:ind w:firstLine="1417"/>
        <w:jc w:val="both"/>
        <w:rPr>
          <w:rFonts w:ascii="Times New Roman" w:hAnsi="Times New Roman" w:cs="Trebuchet MS"/>
          <w:sz w:val="24"/>
          <w:szCs w:val="24"/>
        </w:rPr>
      </w:pPr>
    </w:p>
    <w:p w:rsidR="00495F71" w:rsidRPr="0064198F" w:rsidRDefault="00495F71" w:rsidP="00495F71">
      <w:pPr>
        <w:pStyle w:val="Textbody"/>
        <w:spacing w:after="0" w:line="360" w:lineRule="auto"/>
        <w:ind w:firstLine="1417"/>
        <w:jc w:val="both"/>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QUINZE– DO FORO</w:t>
      </w:r>
    </w:p>
    <w:p w:rsidR="00A11032" w:rsidRDefault="00A11032">
      <w:pPr>
        <w:pStyle w:val="Standard"/>
        <w:spacing w:line="360" w:lineRule="auto"/>
        <w:ind w:firstLine="1417"/>
        <w:jc w:val="both"/>
        <w:rPr>
          <w:rFonts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Fica eleito o foro da Justiça Federal da cidade de Brasília/DF para dirimir as dúvidas não solucionadas administrativamente, oriundas das obrigações aqui estabelecidas.</w:t>
      </w:r>
    </w:p>
    <w:p w:rsidR="00A11032" w:rsidRDefault="00A11032">
      <w:pPr>
        <w:pStyle w:val="Ttulo5"/>
        <w:shd w:val="clear" w:color="auto" w:fill="FFFFFF"/>
        <w:tabs>
          <w:tab w:val="left" w:pos="0"/>
        </w:tabs>
        <w:spacing w:before="0" w:line="360" w:lineRule="auto"/>
        <w:ind w:left="0" w:firstLine="1417"/>
        <w:rPr>
          <w:rFonts w:cs="Trebuchet MS"/>
          <w:sz w:val="24"/>
          <w:szCs w:val="24"/>
        </w:rPr>
      </w:pPr>
    </w:p>
    <w:p w:rsidR="00A11032" w:rsidRDefault="00EE68D3">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2" w:name="Texto5"/>
      <w:bookmarkStart w:id="3" w:name="Texto4"/>
      <w:bookmarkEnd w:id="2"/>
      <w:bookmarkEnd w:id="3"/>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A11032" w:rsidRDefault="00A11032">
      <w:pPr>
        <w:pStyle w:val="Standard"/>
        <w:spacing w:line="360" w:lineRule="auto"/>
        <w:jc w:val="both"/>
        <w:rPr>
          <w:rFonts w:cs="Trebuchet MS"/>
          <w:color w:val="000000"/>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A11032">
        <w:tc>
          <w:tcPr>
            <w:tcW w:w="4822"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CONTRATANTE</w:t>
            </w:r>
          </w:p>
        </w:tc>
        <w:tc>
          <w:tcPr>
            <w:tcW w:w="4823"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CONTRATADA</w:t>
            </w:r>
          </w:p>
        </w:tc>
      </w:tr>
    </w:tbl>
    <w:p w:rsidR="00A11032" w:rsidRDefault="00A11032" w:rsidP="00495F71">
      <w:pPr>
        <w:pStyle w:val="Standard"/>
        <w:spacing w:line="360" w:lineRule="auto"/>
        <w:jc w:val="both"/>
        <w:rPr>
          <w:sz w:val="24"/>
          <w:szCs w:val="24"/>
        </w:rPr>
      </w:pPr>
    </w:p>
    <w:sectPr w:rsidR="00A11032">
      <w:headerReference w:type="default" r:id="rId25"/>
      <w:footerReference w:type="default" r:id="rId26"/>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173" w:rsidRDefault="00B63173">
      <w:r>
        <w:separator/>
      </w:r>
    </w:p>
  </w:endnote>
  <w:endnote w:type="continuationSeparator" w:id="0">
    <w:p w:rsidR="00B63173" w:rsidRDefault="00B6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Arial">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SimSun, 宋体">
    <w:charset w:val="00"/>
    <w:family w:val="auto"/>
    <w:pitch w:val="variable"/>
  </w:font>
  <w:font w:name="Mangal;Calibri">
    <w:altName w:val="Times New Roman"/>
    <w:panose1 w:val="00000000000000000000"/>
    <w:charset w:val="00"/>
    <w:family w:val="roman"/>
    <w:notTrueType/>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Rodap"/>
      <w:jc w:val="both"/>
    </w:pPr>
  </w:p>
  <w:p w:rsidR="00B63173" w:rsidRDefault="00B63173">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26</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72</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Rodap"/>
      <w:jc w:val="both"/>
    </w:pPr>
  </w:p>
  <w:p w:rsidR="00B63173" w:rsidRDefault="00B63173">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B63173" w:rsidRDefault="00B63173">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Rodap"/>
      <w:jc w:val="both"/>
    </w:pPr>
  </w:p>
  <w:p w:rsidR="00B63173" w:rsidRDefault="00B63173">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59</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B63173" w:rsidRDefault="00B63173">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173" w:rsidRDefault="00B63173">
      <w:r>
        <w:rPr>
          <w:color w:val="000000"/>
        </w:rPr>
        <w:separator/>
      </w:r>
    </w:p>
  </w:footnote>
  <w:footnote w:type="continuationSeparator" w:id="0">
    <w:p w:rsidR="00B63173" w:rsidRDefault="00B6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Standard"/>
    </w:pPr>
  </w:p>
  <w:p w:rsidR="00B63173" w:rsidRDefault="00B63173">
    <w:pPr>
      <w:pStyle w:val="Standard"/>
    </w:pPr>
    <w:r>
      <w:rPr>
        <w:noProof/>
      </w:rPr>
      <w:drawing>
        <wp:anchor distT="0" distB="0" distL="114300" distR="114300" simplePos="0" relativeHeight="251656704"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4"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63173" w:rsidRDefault="00B6317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63173" w:rsidRDefault="00B63173">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p>
  <w:p w:rsidR="00B63173" w:rsidRDefault="00B63173">
    <w:pPr>
      <w:pStyle w:val="Standard"/>
    </w:pPr>
    <w:r>
      <w:rPr>
        <w:noProof/>
      </w:rPr>
      <w:drawing>
        <wp:anchor distT="0" distB="0" distL="114300" distR="114300" simplePos="0" relativeHeight="251658752"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73" w:rsidRDefault="00B63173">
    <w:pPr>
      <w:pStyle w:val="Standard"/>
    </w:pPr>
  </w:p>
  <w:p w:rsidR="00B63173" w:rsidRDefault="00B6317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63173" w:rsidRDefault="00B63173">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26"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28"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6"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38"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4"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6"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4"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68508E"/>
    <w:multiLevelType w:val="multilevel"/>
    <w:tmpl w:val="2F1E0A22"/>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9D5F49"/>
    <w:multiLevelType w:val="multilevel"/>
    <w:tmpl w:val="5FCA5DBE"/>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571BFC"/>
    <w:multiLevelType w:val="multilevel"/>
    <w:tmpl w:val="9A5E9D26"/>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67"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1"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FD2716A"/>
    <w:multiLevelType w:val="multilevel"/>
    <w:tmpl w:val="69F8B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8"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532207D1"/>
    <w:multiLevelType w:val="multilevel"/>
    <w:tmpl w:val="F91642B8"/>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1" w15:restartNumberingAfterBreak="0">
    <w:nsid w:val="546E3522"/>
    <w:multiLevelType w:val="multilevel"/>
    <w:tmpl w:val="1390D1A6"/>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57C01EEA"/>
    <w:multiLevelType w:val="multilevel"/>
    <w:tmpl w:val="4E6C0364"/>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9777601"/>
    <w:multiLevelType w:val="multilevel"/>
    <w:tmpl w:val="2FB6A0D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88" w15:restartNumberingAfterBreak="0">
    <w:nsid w:val="5BBB4FD4"/>
    <w:multiLevelType w:val="multilevel"/>
    <w:tmpl w:val="7E1460A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9"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1"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4"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97"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01"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3"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8"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10"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AC022E7"/>
    <w:multiLevelType w:val="multilevel"/>
    <w:tmpl w:val="81DEA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5"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7" w15:restartNumberingAfterBreak="0">
    <w:nsid w:val="72DA6D02"/>
    <w:multiLevelType w:val="multilevel"/>
    <w:tmpl w:val="48DA6B4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118"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4791993"/>
    <w:multiLevelType w:val="multilevel"/>
    <w:tmpl w:val="800E2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30"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60"/>
  </w:num>
  <w:num w:numId="3">
    <w:abstractNumId w:val="94"/>
  </w:num>
  <w:num w:numId="4">
    <w:abstractNumId w:val="68"/>
  </w:num>
  <w:num w:numId="5">
    <w:abstractNumId w:val="78"/>
  </w:num>
  <w:num w:numId="6">
    <w:abstractNumId w:val="28"/>
  </w:num>
  <w:num w:numId="7">
    <w:abstractNumId w:val="23"/>
  </w:num>
  <w:num w:numId="8">
    <w:abstractNumId w:val="38"/>
  </w:num>
  <w:num w:numId="9">
    <w:abstractNumId w:val="52"/>
  </w:num>
  <w:num w:numId="10">
    <w:abstractNumId w:val="6"/>
  </w:num>
  <w:num w:numId="11">
    <w:abstractNumId w:val="5"/>
  </w:num>
  <w:num w:numId="12">
    <w:abstractNumId w:val="31"/>
  </w:num>
  <w:num w:numId="13">
    <w:abstractNumId w:val="37"/>
  </w:num>
  <w:num w:numId="14">
    <w:abstractNumId w:val="101"/>
  </w:num>
  <w:num w:numId="15">
    <w:abstractNumId w:val="72"/>
  </w:num>
  <w:num w:numId="16">
    <w:abstractNumId w:val="84"/>
  </w:num>
  <w:num w:numId="17">
    <w:abstractNumId w:val="54"/>
  </w:num>
  <w:num w:numId="18">
    <w:abstractNumId w:val="26"/>
  </w:num>
  <w:num w:numId="19">
    <w:abstractNumId w:val="125"/>
  </w:num>
  <w:num w:numId="20">
    <w:abstractNumId w:val="118"/>
  </w:num>
  <w:num w:numId="21">
    <w:abstractNumId w:val="17"/>
  </w:num>
  <w:num w:numId="22">
    <w:abstractNumId w:val="91"/>
  </w:num>
  <w:num w:numId="23">
    <w:abstractNumId w:val="51"/>
  </w:num>
  <w:num w:numId="24">
    <w:abstractNumId w:val="42"/>
  </w:num>
  <w:num w:numId="25">
    <w:abstractNumId w:val="15"/>
  </w:num>
  <w:num w:numId="26">
    <w:abstractNumId w:val="79"/>
  </w:num>
  <w:num w:numId="27">
    <w:abstractNumId w:val="115"/>
  </w:num>
  <w:num w:numId="28">
    <w:abstractNumId w:val="71"/>
  </w:num>
  <w:num w:numId="29">
    <w:abstractNumId w:val="43"/>
  </w:num>
  <w:num w:numId="30">
    <w:abstractNumId w:val="32"/>
  </w:num>
  <w:num w:numId="31">
    <w:abstractNumId w:val="89"/>
  </w:num>
  <w:num w:numId="32">
    <w:abstractNumId w:val="33"/>
  </w:num>
  <w:num w:numId="33">
    <w:abstractNumId w:val="53"/>
  </w:num>
  <w:num w:numId="34">
    <w:abstractNumId w:val="64"/>
  </w:num>
  <w:num w:numId="35">
    <w:abstractNumId w:val="77"/>
  </w:num>
  <w:num w:numId="36">
    <w:abstractNumId w:val="100"/>
  </w:num>
  <w:num w:numId="37">
    <w:abstractNumId w:val="116"/>
  </w:num>
  <w:num w:numId="38">
    <w:abstractNumId w:val="110"/>
  </w:num>
  <w:num w:numId="39">
    <w:abstractNumId w:val="98"/>
  </w:num>
  <w:num w:numId="40">
    <w:abstractNumId w:val="44"/>
  </w:num>
  <w:num w:numId="41">
    <w:abstractNumId w:val="105"/>
  </w:num>
  <w:num w:numId="42">
    <w:abstractNumId w:val="108"/>
  </w:num>
  <w:num w:numId="43">
    <w:abstractNumId w:val="47"/>
  </w:num>
  <w:num w:numId="44">
    <w:abstractNumId w:val="35"/>
  </w:num>
  <w:num w:numId="45">
    <w:abstractNumId w:val="70"/>
  </w:num>
  <w:num w:numId="46">
    <w:abstractNumId w:val="66"/>
  </w:num>
  <w:num w:numId="47">
    <w:abstractNumId w:val="45"/>
  </w:num>
  <w:num w:numId="48">
    <w:abstractNumId w:val="83"/>
  </w:num>
  <w:num w:numId="49">
    <w:abstractNumId w:val="104"/>
  </w:num>
  <w:num w:numId="50">
    <w:abstractNumId w:val="55"/>
  </w:num>
  <w:num w:numId="51">
    <w:abstractNumId w:val="61"/>
  </w:num>
  <w:num w:numId="52">
    <w:abstractNumId w:val="41"/>
  </w:num>
  <w:num w:numId="53">
    <w:abstractNumId w:val="50"/>
  </w:num>
  <w:num w:numId="54">
    <w:abstractNumId w:val="34"/>
  </w:num>
  <w:num w:numId="55">
    <w:abstractNumId w:val="48"/>
  </w:num>
  <w:num w:numId="56">
    <w:abstractNumId w:val="120"/>
  </w:num>
  <w:num w:numId="57">
    <w:abstractNumId w:val="97"/>
  </w:num>
  <w:num w:numId="58">
    <w:abstractNumId w:val="13"/>
  </w:num>
  <w:num w:numId="59">
    <w:abstractNumId w:val="40"/>
  </w:num>
  <w:num w:numId="60">
    <w:abstractNumId w:val="30"/>
  </w:num>
  <w:num w:numId="61">
    <w:abstractNumId w:val="10"/>
  </w:num>
  <w:num w:numId="62">
    <w:abstractNumId w:val="9"/>
  </w:num>
  <w:num w:numId="63">
    <w:abstractNumId w:val="95"/>
  </w:num>
  <w:num w:numId="64">
    <w:abstractNumId w:val="121"/>
  </w:num>
  <w:num w:numId="65">
    <w:abstractNumId w:val="103"/>
  </w:num>
  <w:num w:numId="66">
    <w:abstractNumId w:val="0"/>
  </w:num>
  <w:num w:numId="67">
    <w:abstractNumId w:val="69"/>
  </w:num>
  <w:num w:numId="68">
    <w:abstractNumId w:val="93"/>
  </w:num>
  <w:num w:numId="69">
    <w:abstractNumId w:val="107"/>
  </w:num>
  <w:num w:numId="70">
    <w:abstractNumId w:val="3"/>
  </w:num>
  <w:num w:numId="71">
    <w:abstractNumId w:val="65"/>
  </w:num>
  <w:num w:numId="72">
    <w:abstractNumId w:val="36"/>
  </w:num>
  <w:num w:numId="73">
    <w:abstractNumId w:val="90"/>
  </w:num>
  <w:num w:numId="74">
    <w:abstractNumId w:val="99"/>
  </w:num>
  <w:num w:numId="75">
    <w:abstractNumId w:val="114"/>
  </w:num>
  <w:num w:numId="76">
    <w:abstractNumId w:val="113"/>
  </w:num>
  <w:num w:numId="77">
    <w:abstractNumId w:val="18"/>
  </w:num>
  <w:num w:numId="78">
    <w:abstractNumId w:val="39"/>
  </w:num>
  <w:num w:numId="79">
    <w:abstractNumId w:val="14"/>
  </w:num>
  <w:num w:numId="80">
    <w:abstractNumId w:val="19"/>
  </w:num>
  <w:num w:numId="81">
    <w:abstractNumId w:val="1"/>
  </w:num>
  <w:num w:numId="82">
    <w:abstractNumId w:val="124"/>
  </w:num>
  <w:num w:numId="83">
    <w:abstractNumId w:val="24"/>
  </w:num>
  <w:num w:numId="84">
    <w:abstractNumId w:val="20"/>
  </w:num>
  <w:num w:numId="85">
    <w:abstractNumId w:val="106"/>
  </w:num>
  <w:num w:numId="86">
    <w:abstractNumId w:val="11"/>
  </w:num>
  <w:num w:numId="87">
    <w:abstractNumId w:val="129"/>
  </w:num>
  <w:num w:numId="88">
    <w:abstractNumId w:val="16"/>
  </w:num>
  <w:num w:numId="89">
    <w:abstractNumId w:val="27"/>
  </w:num>
  <w:num w:numId="90">
    <w:abstractNumId w:val="21"/>
  </w:num>
  <w:num w:numId="91">
    <w:abstractNumId w:val="131"/>
  </w:num>
  <w:num w:numId="92">
    <w:abstractNumId w:val="128"/>
  </w:num>
  <w:num w:numId="93">
    <w:abstractNumId w:val="67"/>
  </w:num>
  <w:num w:numId="94">
    <w:abstractNumId w:val="63"/>
  </w:num>
  <w:num w:numId="95">
    <w:abstractNumId w:val="2"/>
  </w:num>
  <w:num w:numId="96">
    <w:abstractNumId w:val="126"/>
  </w:num>
  <w:num w:numId="97">
    <w:abstractNumId w:val="123"/>
  </w:num>
  <w:num w:numId="98">
    <w:abstractNumId w:val="85"/>
  </w:num>
  <w:num w:numId="99">
    <w:abstractNumId w:val="57"/>
  </w:num>
  <w:num w:numId="100">
    <w:abstractNumId w:val="46"/>
  </w:num>
  <w:num w:numId="101">
    <w:abstractNumId w:val="58"/>
  </w:num>
  <w:num w:numId="102">
    <w:abstractNumId w:val="59"/>
  </w:num>
  <w:num w:numId="103">
    <w:abstractNumId w:val="92"/>
  </w:num>
  <w:num w:numId="104">
    <w:abstractNumId w:val="111"/>
  </w:num>
  <w:num w:numId="105">
    <w:abstractNumId w:val="29"/>
  </w:num>
  <w:num w:numId="106">
    <w:abstractNumId w:val="73"/>
  </w:num>
  <w:num w:numId="107">
    <w:abstractNumId w:val="74"/>
  </w:num>
  <w:num w:numId="108">
    <w:abstractNumId w:val="127"/>
  </w:num>
  <w:num w:numId="109">
    <w:abstractNumId w:val="86"/>
  </w:num>
  <w:num w:numId="110">
    <w:abstractNumId w:val="109"/>
  </w:num>
  <w:num w:numId="111">
    <w:abstractNumId w:val="25"/>
  </w:num>
  <w:num w:numId="112">
    <w:abstractNumId w:val="130"/>
  </w:num>
  <w:num w:numId="113">
    <w:abstractNumId w:val="7"/>
  </w:num>
  <w:num w:numId="114">
    <w:abstractNumId w:val="117"/>
  </w:num>
  <w:num w:numId="115">
    <w:abstractNumId w:val="56"/>
  </w:num>
  <w:num w:numId="116">
    <w:abstractNumId w:val="22"/>
  </w:num>
  <w:num w:numId="117">
    <w:abstractNumId w:val="88"/>
  </w:num>
  <w:num w:numId="118">
    <w:abstractNumId w:val="80"/>
  </w:num>
  <w:num w:numId="119">
    <w:abstractNumId w:val="81"/>
  </w:num>
  <w:num w:numId="120">
    <w:abstractNumId w:val="119"/>
  </w:num>
  <w:num w:numId="121">
    <w:abstractNumId w:val="76"/>
  </w:num>
  <w:num w:numId="122">
    <w:abstractNumId w:val="62"/>
  </w:num>
  <w:num w:numId="123">
    <w:abstractNumId w:val="112"/>
  </w:num>
  <w:num w:numId="124">
    <w:abstractNumId w:val="25"/>
    <w:lvlOverride w:ilvl="0">
      <w:startOverride w:val="1"/>
    </w:lvlOverride>
  </w:num>
  <w:num w:numId="125">
    <w:abstractNumId w:val="37"/>
    <w:lvlOverride w:ilvl="0">
      <w:startOverride w:val="1"/>
    </w:lvlOverride>
  </w:num>
  <w:num w:numId="126">
    <w:abstractNumId w:val="130"/>
    <w:lvlOverride w:ilvl="0">
      <w:startOverride w:val="1"/>
    </w:lvlOverride>
  </w:num>
  <w:num w:numId="127">
    <w:abstractNumId w:val="101"/>
    <w:lvlOverride w:ilvl="0">
      <w:startOverride w:val="1"/>
    </w:lvlOverride>
  </w:num>
  <w:num w:numId="128">
    <w:abstractNumId w:val="12"/>
  </w:num>
  <w:num w:numId="129">
    <w:abstractNumId w:val="75"/>
  </w:num>
  <w:num w:numId="130">
    <w:abstractNumId w:val="4"/>
  </w:num>
  <w:num w:numId="131">
    <w:abstractNumId w:val="82"/>
  </w:num>
  <w:num w:numId="132">
    <w:abstractNumId w:val="49"/>
  </w:num>
  <w:num w:numId="133">
    <w:abstractNumId w:val="96"/>
  </w:num>
  <w:num w:numId="134">
    <w:abstractNumId w:val="122"/>
  </w:num>
  <w:num w:numId="135">
    <w:abstractNumId w:val="102"/>
  </w:num>
  <w:num w:numId="1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lvlOverride w:ilvl="0">
      <w:lvl w:ilvl="0">
        <w:start w:val="1"/>
        <w:numFmt w:val="decimal"/>
        <w:lvlText w:val="%1."/>
        <w:lvlJc w:val="left"/>
        <w:pPr>
          <w:ind w:left="360" w:hanging="360"/>
        </w:pPr>
        <w:rPr>
          <w:rFonts w:ascii="Arial" w:eastAsia="TTE4D8A148t00" w:hAnsi="Arial" w:cs="Arial" w:hint="default"/>
          <w:b/>
          <w:bCs/>
          <w:sz w:val="22"/>
          <w:szCs w:val="22"/>
          <w:lang w:val="en-US"/>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lang w:val="en-US"/>
        </w:rPr>
      </w:lvl>
    </w:lvlOverride>
    <w:lvlOverride w:ilvl="2">
      <w:lvl w:ilvl="2">
        <w:start w:val="1"/>
        <w:numFmt w:val="decimal"/>
        <w:lvlText w:val="%1.%2.%3."/>
        <w:lvlJc w:val="left"/>
        <w:pPr>
          <w:ind w:left="1224" w:hanging="504"/>
        </w:pPr>
        <w:rPr>
          <w:rFonts w:ascii="Arial" w:eastAsia="TTE4D8A148t00" w:hAnsi="Arial" w:cs="Arial" w:hint="default"/>
          <w:b/>
          <w:bCs/>
          <w:sz w:val="22"/>
          <w:szCs w:val="22"/>
          <w:lang w:val="en-U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rPr>
          <w:rFonts w:ascii="Arial" w:eastAsia="TTE4D8A148t00" w:hAnsi="Arial" w:cs="Arial" w:hint="default"/>
          <w:b/>
          <w:bCs/>
          <w:sz w:val="22"/>
          <w:szCs w:val="22"/>
          <w:lang w:val="en-US"/>
        </w:rPr>
      </w:lvl>
    </w:lvlOverride>
    <w:lvlOverride w:ilvl="5">
      <w:lvl w:ilvl="5">
        <w:start w:val="1"/>
        <w:numFmt w:val="decimal"/>
        <w:lvlText w:val="%1.%2.%3.%4.%5.%6."/>
        <w:lvlJc w:val="left"/>
        <w:pPr>
          <w:ind w:left="2736" w:hanging="936"/>
        </w:pPr>
        <w:rPr>
          <w:rFonts w:ascii="Arial" w:eastAsia="TTE4D8A148t00" w:hAnsi="Arial" w:cs="Arial" w:hint="default"/>
          <w:b/>
          <w:bCs/>
          <w:sz w:val="22"/>
          <w:szCs w:val="22"/>
          <w:lang w:val="en-US"/>
        </w:rPr>
      </w:lvl>
    </w:lvlOverride>
    <w:lvlOverride w:ilvl="6">
      <w:lvl w:ilvl="6">
        <w:start w:val="1"/>
        <w:numFmt w:val="decimal"/>
        <w:lvlText w:val="%1.%2.%3.%4.%5.%6.%7."/>
        <w:lvlJc w:val="left"/>
        <w:pPr>
          <w:ind w:left="3240" w:hanging="1080"/>
        </w:pPr>
        <w:rPr>
          <w:rFonts w:ascii="Arial" w:eastAsia="TTE4D8A148t00" w:hAnsi="Arial" w:cs="Arial" w:hint="default"/>
          <w:b/>
          <w:bCs/>
          <w:sz w:val="22"/>
          <w:szCs w:val="22"/>
          <w:lang w:val="en-US"/>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lang w:val="en-US"/>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lang w:val="en-US"/>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32"/>
    <w:rsid w:val="00064C17"/>
    <w:rsid w:val="000A73B1"/>
    <w:rsid w:val="000B2BA1"/>
    <w:rsid w:val="00240CE6"/>
    <w:rsid w:val="002757B4"/>
    <w:rsid w:val="002801B5"/>
    <w:rsid w:val="00371478"/>
    <w:rsid w:val="00472083"/>
    <w:rsid w:val="00495F71"/>
    <w:rsid w:val="004F2965"/>
    <w:rsid w:val="00511AFF"/>
    <w:rsid w:val="005208FD"/>
    <w:rsid w:val="005265D9"/>
    <w:rsid w:val="00536C22"/>
    <w:rsid w:val="0054284F"/>
    <w:rsid w:val="005746C2"/>
    <w:rsid w:val="00576CAC"/>
    <w:rsid w:val="00577808"/>
    <w:rsid w:val="005A5F5D"/>
    <w:rsid w:val="005C6A30"/>
    <w:rsid w:val="005D64A7"/>
    <w:rsid w:val="006623E1"/>
    <w:rsid w:val="00691D7E"/>
    <w:rsid w:val="006C0E26"/>
    <w:rsid w:val="006D0198"/>
    <w:rsid w:val="007128D3"/>
    <w:rsid w:val="00726CD7"/>
    <w:rsid w:val="00783646"/>
    <w:rsid w:val="007F4E33"/>
    <w:rsid w:val="0083304B"/>
    <w:rsid w:val="00833DB4"/>
    <w:rsid w:val="00874A4C"/>
    <w:rsid w:val="0088332D"/>
    <w:rsid w:val="00885B0F"/>
    <w:rsid w:val="008B672A"/>
    <w:rsid w:val="008F28A6"/>
    <w:rsid w:val="00925144"/>
    <w:rsid w:val="0093207A"/>
    <w:rsid w:val="00A11032"/>
    <w:rsid w:val="00A135B7"/>
    <w:rsid w:val="00A4783A"/>
    <w:rsid w:val="00AE280F"/>
    <w:rsid w:val="00AF3ECC"/>
    <w:rsid w:val="00AF3EF2"/>
    <w:rsid w:val="00B63173"/>
    <w:rsid w:val="00BD76F8"/>
    <w:rsid w:val="00C05185"/>
    <w:rsid w:val="00C3221E"/>
    <w:rsid w:val="00CE7FCD"/>
    <w:rsid w:val="00CF4F3A"/>
    <w:rsid w:val="00D55FE6"/>
    <w:rsid w:val="00D802EE"/>
    <w:rsid w:val="00D845CA"/>
    <w:rsid w:val="00DB1F47"/>
    <w:rsid w:val="00DD553D"/>
    <w:rsid w:val="00E06CD2"/>
    <w:rsid w:val="00EA0FB3"/>
    <w:rsid w:val="00ED062C"/>
    <w:rsid w:val="00EE68D3"/>
    <w:rsid w:val="00F24E9E"/>
    <w:rsid w:val="00FA1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537DF3C"/>
  <w15:docId w15:val="{859E5447-1802-4F40-8490-FA0F4DD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tulo1">
    <w:name w:val="heading 1"/>
    <w:basedOn w:val="Standard"/>
    <w:next w:val="Textbody"/>
    <w:pPr>
      <w:keepNext/>
      <w:spacing w:before="120" w:after="120"/>
      <w:outlineLvl w:val="0"/>
    </w:pPr>
    <w:rPr>
      <w:rFonts w:eastAsia="Arial" w:cs="Arial"/>
      <w:b/>
      <w:sz w:val="24"/>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autoSpaceDN w:val="0"/>
      <w:textAlignment w:val="baseline"/>
    </w:pPr>
    <w:rPr>
      <w:kern w:val="3"/>
      <w:lang w:eastAsia="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qFormat/>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autoSpaceDN w:val="0"/>
      <w:spacing w:line="360" w:lineRule="exact"/>
      <w:jc w:val="both"/>
      <w:textAlignment w:val="baseline"/>
    </w:pPr>
    <w:rPr>
      <w:rFonts w:ascii="Courier" w:eastAsia="Times New Roman" w:hAnsi="Courier" w:cs="Times New Roman"/>
      <w:kern w:val="3"/>
      <w:sz w:val="24"/>
      <w:lang w:eastAsia="zh-CN" w:bidi="hi-IN"/>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suppressAutoHyphens/>
      <w:autoSpaceDN w:val="0"/>
      <w:textAlignment w:val="baseline"/>
    </w:pPr>
    <w:rPr>
      <w:rFonts w:eastAsia="Times New Roman" w:cs="Times New Roman"/>
      <w:kern w:val="3"/>
      <w:lang w:eastAsia="zh-CN" w:bidi="hi-IN"/>
    </w:rPr>
  </w:style>
  <w:style w:type="paragraph" w:customStyle="1" w:styleId="Clusula">
    <w:name w:val="Cláusula"/>
    <w:pPr>
      <w:suppressAutoHyphens/>
      <w:autoSpaceDN w:val="0"/>
      <w:spacing w:before="120"/>
      <w:jc w:val="both"/>
      <w:textAlignment w:val="baseline"/>
    </w:pPr>
    <w:rPr>
      <w:rFonts w:ascii="Arial" w:eastAsia="Times New Roman" w:hAnsi="Arial" w:cs="Times New Roman"/>
      <w:b/>
      <w:caps/>
      <w:kern w:val="3"/>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autoSpaceDN w:val="0"/>
      <w:spacing w:after="260"/>
      <w:textAlignment w:val="baseline"/>
    </w:pPr>
    <w:rPr>
      <w:rFonts w:ascii="Times" w:eastAsia="Times" w:hAnsi="Times" w:cs="Times"/>
      <w:color w:val="000000"/>
      <w:kern w:val="3"/>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autoSpaceDN w:val="0"/>
      <w:spacing w:line="100" w:lineRule="atLeast"/>
      <w:jc w:val="center"/>
      <w:textAlignment w:val="baseline"/>
    </w:pPr>
    <w:rPr>
      <w:rFonts w:eastAsia="Times New Roman" w:cs="Times New Roman"/>
      <w:kern w:val="3"/>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autoSpaceDN w:val="0"/>
      <w:spacing w:before="240"/>
      <w:jc w:val="both"/>
      <w:textAlignment w:val="baseline"/>
    </w:pPr>
    <w:rPr>
      <w:rFonts w:ascii="Arial" w:eastAsia="Arial" w:hAnsi="Arial" w:cs="Times New Roman"/>
      <w:kern w:val="3"/>
      <w:sz w:val="24"/>
      <w:lang w:eastAsia="zh-CN"/>
    </w:rPr>
  </w:style>
  <w:style w:type="paragraph" w:customStyle="1" w:styleId="Ttulo10">
    <w:name w:val="Título1"/>
    <w:basedOn w:val="Standard"/>
    <w:pPr>
      <w:ind w:right="482"/>
      <w:jc w:val="center"/>
    </w:pPr>
    <w:rPr>
      <w:b/>
      <w:sz w:val="22"/>
    </w:rPr>
  </w:style>
  <w:style w:type="paragraph" w:customStyle="1" w:styleId="Normal1">
    <w:name w:val="Normal1"/>
    <w:pPr>
      <w:suppressAutoHyphens/>
      <w:autoSpaceDN w:val="0"/>
      <w:textAlignment w:val="baseline"/>
    </w:pPr>
    <w:rPr>
      <w:rFonts w:eastAsia="Times New Roman" w:cs="Times New Roman"/>
      <w:color w:val="000000"/>
      <w:kern w:val="3"/>
      <w:sz w:val="24"/>
      <w:szCs w:val="24"/>
      <w:lang w:eastAsia="zh-CN"/>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line="240" w:lineRule="atLeast"/>
      <w:ind w:left="170" w:hanging="170"/>
      <w:jc w:val="both"/>
      <w:textAlignment w:val="baseline"/>
    </w:pPr>
    <w:rPr>
      <w:rFonts w:eastAsia="Arial" w:cs="Times New Roman"/>
      <w:kern w:val="3"/>
      <w:lang w:eastAsia="zh-CN"/>
    </w:rPr>
  </w:style>
  <w:style w:type="paragraph" w:customStyle="1" w:styleId="WW-Padro">
    <w:name w:val="WW-Padrão"/>
    <w:pPr>
      <w:tabs>
        <w:tab w:val="left" w:pos="709"/>
      </w:tabs>
      <w:suppressAutoHyphens/>
      <w:autoSpaceDN w:val="0"/>
      <w:spacing w:after="240" w:line="100" w:lineRule="atLeast"/>
      <w:ind w:right="-1"/>
      <w:jc w:val="both"/>
      <w:textAlignment w:val="baseline"/>
    </w:pPr>
    <w:rPr>
      <w:rFonts w:eastAsia="Arial" w:cs="Arial"/>
      <w:kern w:val="3"/>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suppressAutoHyphens/>
      <w:autoSpaceDN w:val="0"/>
      <w:spacing w:before="100" w:after="200" w:line="276" w:lineRule="auto"/>
      <w:jc w:val="both"/>
      <w:textAlignment w:val="baseline"/>
    </w:pPr>
    <w:rPr>
      <w:rFonts w:eastAsia="Times New Roman" w:cs="Times New Roman"/>
      <w:kern w:val="3"/>
      <w:lang w:eastAsia="zh-CN"/>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suppressAutoHyphens/>
      <w:autoSpaceDN w:val="0"/>
      <w:textAlignment w:val="baseline"/>
    </w:pPr>
    <w:rPr>
      <w:rFonts w:eastAsia="Times New Roman" w:cs="Times New Roman"/>
      <w:color w:val="000000"/>
      <w:kern w:val="3"/>
      <w:sz w:val="24"/>
    </w:rPr>
  </w:style>
  <w:style w:type="paragraph" w:styleId="PargrafodaLista">
    <w:name w:val="List Paragraph"/>
    <w:basedOn w:val="Standard"/>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2"/>
      </w:numPr>
      <w:tabs>
        <w:tab w:val="left" w:pos="-1154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98"/>
      </w:numPr>
      <w:tabs>
        <w:tab w:val="left" w:pos="-449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3"/>
      <w:sz w:val="24"/>
      <w:szCs w:val="24"/>
      <w:lang w:bidi="hi-IN"/>
    </w:rPr>
  </w:style>
  <w:style w:type="character" w:customStyle="1" w:styleId="TextodebaloChar">
    <w:name w:val="Texto de balão Char"/>
    <w:rPr>
      <w:rFonts w:ascii="Tahoma" w:eastAsia="Arial Unicode MS" w:hAnsi="Tahoma" w:cs="Mangal"/>
      <w:kern w:val="3"/>
      <w:sz w:val="16"/>
      <w:szCs w:val="14"/>
      <w:lang w:bidi="hi-IN"/>
    </w:rPr>
  </w:style>
  <w:style w:type="character" w:customStyle="1" w:styleId="Ttulo3Char">
    <w:name w:val="Título 3 Char"/>
    <w:rPr>
      <w:rFonts w:ascii="Cambria" w:eastAsia="Times New Roman" w:hAnsi="Cambria" w:cs="Mangal"/>
      <w:b/>
      <w:bCs/>
      <w:kern w:val="3"/>
      <w:sz w:val="26"/>
      <w:szCs w:val="23"/>
      <w:lang w:bidi="hi-IN"/>
    </w:rPr>
  </w:style>
  <w:style w:type="character" w:customStyle="1" w:styleId="Ttulo4Char">
    <w:name w:val="Título 4 Char"/>
    <w:rPr>
      <w:rFonts w:ascii="Calibri" w:eastAsia="Times New Roman" w:hAnsi="Calibri" w:cs="Mangal"/>
      <w:b/>
      <w:bCs/>
      <w:kern w:val="3"/>
      <w:sz w:val="28"/>
      <w:szCs w:val="25"/>
      <w:lang w:bidi="hi-IN"/>
    </w:rPr>
  </w:style>
  <w:style w:type="character" w:customStyle="1" w:styleId="Ttulo5Char">
    <w:name w:val="Título 5 Char"/>
    <w:rPr>
      <w:rFonts w:ascii="Calibri" w:eastAsia="Times New Roman" w:hAnsi="Calibri" w:cs="Mangal"/>
      <w:b/>
      <w:bCs/>
      <w:i/>
      <w:iCs/>
      <w:kern w:val="3"/>
      <w:sz w:val="26"/>
      <w:szCs w:val="23"/>
      <w:lang w:bidi="hi-IN"/>
    </w:rPr>
  </w:style>
  <w:style w:type="character" w:customStyle="1" w:styleId="RodapChar">
    <w:name w:val="Rodapé Char"/>
    <w:rPr>
      <w:rFonts w:eastAsia="Arial Unicode MS" w:cs="Tahoma"/>
      <w:kern w:val="3"/>
      <w:sz w:val="24"/>
      <w:szCs w:val="24"/>
      <w:lang w:bidi="hi-IN"/>
    </w:rPr>
  </w:style>
  <w:style w:type="character" w:customStyle="1" w:styleId="SubttuloChar">
    <w:name w:val="Subtítulo Char"/>
    <w:rPr>
      <w:rFonts w:ascii="Arial" w:eastAsia="Arial Unicode MS" w:hAnsi="Arial" w:cs="Tahoma"/>
      <w:i/>
      <w:iCs/>
      <w:kern w:val="3"/>
      <w:sz w:val="28"/>
      <w:szCs w:val="28"/>
      <w:lang w:bidi="hi-IN"/>
    </w:rPr>
  </w:style>
  <w:style w:type="character" w:customStyle="1" w:styleId="RecuodecorpodetextoChar">
    <w:name w:val="Recuo de corpo de texto Char"/>
    <w:rPr>
      <w:rFonts w:eastAsia="Arial Unicode MS" w:cs="Mangal"/>
      <w:kern w:val="3"/>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3"/>
      <w:sz w:val="24"/>
      <w:szCs w:val="24"/>
      <w:lang w:bidi="hi-IN"/>
    </w:rPr>
  </w:style>
  <w:style w:type="character" w:customStyle="1" w:styleId="AssuntodocomentrioChar">
    <w:name w:val="Assunto do comentário Char"/>
    <w:rPr>
      <w:rFonts w:ascii="Arial" w:eastAsia="Arial Unicode MS" w:hAnsi="Arial" w:cs="Tahoma"/>
      <w:b/>
      <w:bCs/>
      <w:kern w:val="3"/>
      <w:sz w:val="24"/>
      <w:szCs w:val="24"/>
      <w:lang w:bidi="hi-IN"/>
    </w:rPr>
  </w:style>
  <w:style w:type="character" w:customStyle="1" w:styleId="TextodebaloChar1">
    <w:name w:val="Texto de balão Char1"/>
    <w:rPr>
      <w:rFonts w:ascii="Tahoma" w:eastAsia="Arial Unicode MS" w:hAnsi="Tahoma" w:cs="Tahoma"/>
      <w:kern w:val="3"/>
      <w:sz w:val="16"/>
      <w:szCs w:val="14"/>
    </w:rPr>
  </w:style>
  <w:style w:type="character" w:customStyle="1" w:styleId="RecuodecorpodetextoChar1">
    <w:name w:val="Recuo de corpo de texto Char1"/>
    <w:rPr>
      <w:rFonts w:ascii="Arial" w:eastAsia="Arial Unicode MS" w:hAnsi="Arial" w:cs="Arial"/>
      <w:kern w:val="3"/>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before="120" w:after="120" w:line="360" w:lineRule="auto"/>
      <w:jc w:val="both"/>
    </w:pPr>
    <w:rPr>
      <w:szCs w:val="21"/>
    </w:rPr>
  </w:style>
  <w:style w:type="character" w:customStyle="1" w:styleId="CorpodetextoChar1">
    <w:name w:val="Corpo de texto Char1"/>
    <w:rPr>
      <w:szCs w:val="21"/>
    </w:rPr>
  </w:style>
  <w:style w:type="character" w:styleId="Refdecomentrio">
    <w:name w:val="annotation reference"/>
    <w:rPr>
      <w:sz w:val="16"/>
      <w:szCs w:val="16"/>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kern w:val="0"/>
      <w:lang w:eastAsia="pt-BR" w:bidi="ar-SA"/>
    </w:rPr>
  </w:style>
  <w:style w:type="paragraph" w:styleId="Ttulo">
    <w:name w:val="Title"/>
    <w:basedOn w:val="Normal"/>
    <w:next w:val="Normal"/>
    <w:pPr>
      <w:suppressAutoHyphens w:val="0"/>
      <w:spacing w:after="120" w:line="360" w:lineRule="auto"/>
      <w:jc w:val="center"/>
      <w:textAlignment w:val="auto"/>
    </w:pPr>
    <w:rPr>
      <w:rFonts w:eastAsia="Times New Roman" w:cs="Times New Roman"/>
      <w:b/>
      <w:spacing w:val="-10"/>
      <w:szCs w:val="56"/>
      <w:lang w:eastAsia="en-US" w:bidi="ar-SA"/>
    </w:rPr>
  </w:style>
  <w:style w:type="character" w:customStyle="1" w:styleId="TtuloChar">
    <w:name w:val="Título Char"/>
    <w:rPr>
      <w:rFonts w:eastAsia="Times New Roman" w:cs="Times New Roman"/>
      <w:b/>
      <w:spacing w:val="-10"/>
      <w:kern w:val="3"/>
      <w:szCs w:val="56"/>
      <w:lang w:eastAsia="en-US" w:bidi="ar-SA"/>
    </w:rPr>
  </w:style>
  <w:style w:type="character" w:styleId="Forte">
    <w:name w:val="Strong"/>
    <w:uiPriority w:val="22"/>
    <w:qFormat/>
    <w:rPr>
      <w:b/>
      <w:bCs/>
    </w:rPr>
  </w:style>
  <w:style w:type="character" w:styleId="Hyperlink">
    <w:name w:val="Hyperlink"/>
    <w:uiPriority w:val="99"/>
    <w:unhideWhenUsed/>
    <w:rsid w:val="008B672A"/>
    <w:rPr>
      <w:color w:val="0563C1"/>
      <w:u w:val="single"/>
    </w:rPr>
  </w:style>
  <w:style w:type="character" w:styleId="MenoPendente">
    <w:name w:val="Unresolved Mention"/>
    <w:uiPriority w:val="99"/>
    <w:semiHidden/>
    <w:unhideWhenUsed/>
    <w:rsid w:val="008B672A"/>
    <w:rPr>
      <w:color w:val="808080"/>
      <w:shd w:val="clear" w:color="auto" w:fill="E6E6E6"/>
    </w:rPr>
  </w:style>
  <w:style w:type="paragraph" w:customStyle="1" w:styleId="Ttulo21">
    <w:name w:val="Título 21"/>
    <w:qFormat/>
    <w:rsid w:val="00E06CD2"/>
    <w:pPr>
      <w:keepNext/>
      <w:widowControl w:val="0"/>
      <w:suppressAutoHyphens/>
      <w:spacing w:before="600" w:line="240" w:lineRule="exact"/>
      <w:jc w:val="center"/>
      <w:outlineLvl w:val="1"/>
    </w:pPr>
    <w:rPr>
      <w:rFonts w:eastAsia="SimSun, 宋体" w:cs="Mangal;Calibri"/>
      <w:color w:val="00000A"/>
      <w:sz w:val="24"/>
      <w:szCs w:val="24"/>
      <w:lang w:eastAsia="zh-CN" w:bidi="hi-IN"/>
    </w:rPr>
  </w:style>
  <w:style w:type="paragraph" w:customStyle="1" w:styleId="Standarduser">
    <w:name w:val="Standard (user)"/>
    <w:qFormat/>
    <w:rsid w:val="00E06CD2"/>
    <w:pPr>
      <w:suppressAutoHyphens/>
    </w:pPr>
    <w:rPr>
      <w:rFonts w:eastAsia="Times New Roman" w:cs="Times New Roman"/>
      <w:color w:val="00000A"/>
      <w:lang w:eastAsia="zh-CN"/>
    </w:rPr>
  </w:style>
  <w:style w:type="character" w:customStyle="1" w:styleId="LinkdaInternet">
    <w:name w:val="Link da Internet"/>
    <w:uiPriority w:val="99"/>
    <w:rsid w:val="000B2BA1"/>
    <w:rPr>
      <w:color w:val="0563C1"/>
      <w:u w:val="single"/>
    </w:rPr>
  </w:style>
  <w:style w:type="numbering" w:customStyle="1" w:styleId="WWOutlineListStyle9">
    <w:name w:val="WW_OutlineListStyle_9"/>
    <w:basedOn w:val="Semlista"/>
    <w:pPr>
      <w:numPr>
        <w:numId w:val="1"/>
      </w:numPr>
    </w:p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5">
    <w:name w:val="WW_OutlineListStyle_5"/>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 w:type="numbering" w:customStyle="1" w:styleId="Outline">
    <w:name w:val="Outline"/>
    <w:basedOn w:val="Semlista"/>
    <w:pPr>
      <w:numPr>
        <w:numId w:val="11"/>
      </w:numPr>
    </w:pPr>
  </w:style>
  <w:style w:type="numbering" w:customStyle="1" w:styleId="WWNum1">
    <w:name w:val="WWNum1"/>
    <w:basedOn w:val="Semlista"/>
    <w:pPr>
      <w:numPr>
        <w:numId w:val="12"/>
      </w:numPr>
    </w:pPr>
  </w:style>
  <w:style w:type="numbering" w:customStyle="1" w:styleId="WWNum2">
    <w:name w:val="WWNum2"/>
    <w:basedOn w:val="Semlista"/>
    <w:pPr>
      <w:numPr>
        <w:numId w:val="13"/>
      </w:numPr>
    </w:pPr>
  </w:style>
  <w:style w:type="numbering" w:customStyle="1" w:styleId="WWNum3">
    <w:name w:val="WWNum3"/>
    <w:basedOn w:val="Semlista"/>
    <w:pPr>
      <w:numPr>
        <w:numId w:val="14"/>
      </w:numPr>
    </w:pPr>
  </w:style>
  <w:style w:type="numbering" w:customStyle="1" w:styleId="WWNum4">
    <w:name w:val="WWNum4"/>
    <w:basedOn w:val="Semlista"/>
    <w:pPr>
      <w:numPr>
        <w:numId w:val="15"/>
      </w:numPr>
    </w:pPr>
  </w:style>
  <w:style w:type="numbering" w:customStyle="1" w:styleId="WWNum5">
    <w:name w:val="WWNum5"/>
    <w:basedOn w:val="Semlista"/>
    <w:pPr>
      <w:numPr>
        <w:numId w:val="16"/>
      </w:numPr>
    </w:pPr>
  </w:style>
  <w:style w:type="numbering" w:customStyle="1" w:styleId="WWNum6">
    <w:name w:val="WWNum6"/>
    <w:basedOn w:val="Semlista"/>
    <w:pPr>
      <w:numPr>
        <w:numId w:val="17"/>
      </w:numPr>
    </w:pPr>
  </w:style>
  <w:style w:type="numbering" w:customStyle="1" w:styleId="WWNum7">
    <w:name w:val="WWNum7"/>
    <w:basedOn w:val="Semlista"/>
    <w:pPr>
      <w:numPr>
        <w:numId w:val="18"/>
      </w:numPr>
    </w:pPr>
  </w:style>
  <w:style w:type="numbering" w:customStyle="1" w:styleId="WWNum8">
    <w:name w:val="WWNum8"/>
    <w:basedOn w:val="Semlista"/>
    <w:pPr>
      <w:numPr>
        <w:numId w:val="19"/>
      </w:numPr>
    </w:pPr>
  </w:style>
  <w:style w:type="numbering" w:customStyle="1" w:styleId="WWNum9">
    <w:name w:val="WWNum9"/>
    <w:basedOn w:val="Semlista"/>
    <w:pPr>
      <w:numPr>
        <w:numId w:val="20"/>
      </w:numPr>
    </w:pPr>
  </w:style>
  <w:style w:type="numbering" w:customStyle="1" w:styleId="WWNum10">
    <w:name w:val="WWNum10"/>
    <w:basedOn w:val="Semlista"/>
    <w:pPr>
      <w:numPr>
        <w:numId w:val="21"/>
      </w:numPr>
    </w:pPr>
  </w:style>
  <w:style w:type="numbering" w:customStyle="1" w:styleId="WWNum11">
    <w:name w:val="WWNum11"/>
    <w:basedOn w:val="Semlista"/>
    <w:pPr>
      <w:numPr>
        <w:numId w:val="22"/>
      </w:numPr>
    </w:pPr>
  </w:style>
  <w:style w:type="numbering" w:customStyle="1" w:styleId="WWNum12">
    <w:name w:val="WWNum12"/>
    <w:basedOn w:val="Semlista"/>
    <w:pPr>
      <w:numPr>
        <w:numId w:val="23"/>
      </w:numPr>
    </w:pPr>
  </w:style>
  <w:style w:type="numbering" w:customStyle="1" w:styleId="WWNum13">
    <w:name w:val="WWNum13"/>
    <w:basedOn w:val="Semlista"/>
    <w:pPr>
      <w:numPr>
        <w:numId w:val="24"/>
      </w:numPr>
    </w:pPr>
  </w:style>
  <w:style w:type="numbering" w:customStyle="1" w:styleId="WWNum14">
    <w:name w:val="WWNum14"/>
    <w:basedOn w:val="Semlista"/>
    <w:pPr>
      <w:numPr>
        <w:numId w:val="25"/>
      </w:numPr>
    </w:pPr>
  </w:style>
  <w:style w:type="numbering" w:customStyle="1" w:styleId="WWNum15">
    <w:name w:val="WWNum15"/>
    <w:basedOn w:val="Semlista"/>
    <w:pPr>
      <w:numPr>
        <w:numId w:val="26"/>
      </w:numPr>
    </w:pPr>
  </w:style>
  <w:style w:type="numbering" w:customStyle="1" w:styleId="WWNum16">
    <w:name w:val="WWNum16"/>
    <w:basedOn w:val="Semlista"/>
    <w:pPr>
      <w:numPr>
        <w:numId w:val="27"/>
      </w:numPr>
    </w:pPr>
  </w:style>
  <w:style w:type="numbering" w:customStyle="1" w:styleId="WWNum17">
    <w:name w:val="WWNum17"/>
    <w:basedOn w:val="Semlista"/>
    <w:pPr>
      <w:numPr>
        <w:numId w:val="28"/>
      </w:numPr>
    </w:pPr>
  </w:style>
  <w:style w:type="numbering" w:customStyle="1" w:styleId="WWNum18">
    <w:name w:val="WWNum18"/>
    <w:basedOn w:val="Semlista"/>
    <w:pPr>
      <w:numPr>
        <w:numId w:val="29"/>
      </w:numPr>
    </w:pPr>
  </w:style>
  <w:style w:type="numbering" w:customStyle="1" w:styleId="WWNum19">
    <w:name w:val="WWNum19"/>
    <w:basedOn w:val="Semlista"/>
    <w:pPr>
      <w:numPr>
        <w:numId w:val="30"/>
      </w:numPr>
    </w:pPr>
  </w:style>
  <w:style w:type="numbering" w:customStyle="1" w:styleId="WWNum20">
    <w:name w:val="WWNum20"/>
    <w:basedOn w:val="Semlista"/>
    <w:pPr>
      <w:numPr>
        <w:numId w:val="31"/>
      </w:numPr>
    </w:pPr>
  </w:style>
  <w:style w:type="numbering" w:customStyle="1" w:styleId="WWNum21">
    <w:name w:val="WWNum21"/>
    <w:basedOn w:val="Semlista"/>
    <w:pPr>
      <w:numPr>
        <w:numId w:val="32"/>
      </w:numPr>
    </w:pPr>
  </w:style>
  <w:style w:type="numbering" w:customStyle="1" w:styleId="WWNum22">
    <w:name w:val="WWNum22"/>
    <w:basedOn w:val="Semlista"/>
    <w:pPr>
      <w:numPr>
        <w:numId w:val="33"/>
      </w:numPr>
    </w:pPr>
  </w:style>
  <w:style w:type="numbering" w:customStyle="1" w:styleId="WWNum23">
    <w:name w:val="WWNum23"/>
    <w:basedOn w:val="Semlista"/>
    <w:pPr>
      <w:numPr>
        <w:numId w:val="34"/>
      </w:numPr>
    </w:pPr>
  </w:style>
  <w:style w:type="numbering" w:customStyle="1" w:styleId="WWNum24">
    <w:name w:val="WWNum24"/>
    <w:basedOn w:val="Semlista"/>
    <w:pPr>
      <w:numPr>
        <w:numId w:val="35"/>
      </w:numPr>
    </w:pPr>
  </w:style>
  <w:style w:type="numbering" w:customStyle="1" w:styleId="WWNum25">
    <w:name w:val="WWNum25"/>
    <w:basedOn w:val="Semlista"/>
    <w:pPr>
      <w:numPr>
        <w:numId w:val="36"/>
      </w:numPr>
    </w:pPr>
  </w:style>
  <w:style w:type="numbering" w:customStyle="1" w:styleId="WWNum26">
    <w:name w:val="WWNum26"/>
    <w:basedOn w:val="Semlista"/>
    <w:pPr>
      <w:numPr>
        <w:numId w:val="37"/>
      </w:numPr>
    </w:pPr>
  </w:style>
  <w:style w:type="numbering" w:customStyle="1" w:styleId="WWNum27">
    <w:name w:val="WWNum27"/>
    <w:basedOn w:val="Semlista"/>
    <w:pPr>
      <w:numPr>
        <w:numId w:val="38"/>
      </w:numPr>
    </w:pPr>
  </w:style>
  <w:style w:type="numbering" w:customStyle="1" w:styleId="WWNum28">
    <w:name w:val="WWNum28"/>
    <w:basedOn w:val="Semlista"/>
    <w:pPr>
      <w:numPr>
        <w:numId w:val="39"/>
      </w:numPr>
    </w:pPr>
  </w:style>
  <w:style w:type="numbering" w:customStyle="1" w:styleId="WWNum29">
    <w:name w:val="WWNum29"/>
    <w:basedOn w:val="Semlista"/>
    <w:pPr>
      <w:numPr>
        <w:numId w:val="40"/>
      </w:numPr>
    </w:pPr>
  </w:style>
  <w:style w:type="numbering" w:customStyle="1" w:styleId="WWNum30">
    <w:name w:val="WWNum30"/>
    <w:basedOn w:val="Semlista"/>
    <w:pPr>
      <w:numPr>
        <w:numId w:val="41"/>
      </w:numPr>
    </w:pPr>
  </w:style>
  <w:style w:type="numbering" w:customStyle="1" w:styleId="WWNum31">
    <w:name w:val="WWNum31"/>
    <w:basedOn w:val="Semlista"/>
    <w:pPr>
      <w:numPr>
        <w:numId w:val="42"/>
      </w:numPr>
    </w:pPr>
  </w:style>
  <w:style w:type="numbering" w:customStyle="1" w:styleId="WWNum32">
    <w:name w:val="WWNum32"/>
    <w:basedOn w:val="Semlista"/>
    <w:pPr>
      <w:numPr>
        <w:numId w:val="43"/>
      </w:numPr>
    </w:pPr>
  </w:style>
  <w:style w:type="numbering" w:customStyle="1" w:styleId="WWNum33">
    <w:name w:val="WWNum33"/>
    <w:basedOn w:val="Semlista"/>
    <w:pPr>
      <w:numPr>
        <w:numId w:val="44"/>
      </w:numPr>
    </w:pPr>
  </w:style>
  <w:style w:type="numbering" w:customStyle="1" w:styleId="WWNum34">
    <w:name w:val="WWNum34"/>
    <w:basedOn w:val="Semlista"/>
    <w:pPr>
      <w:numPr>
        <w:numId w:val="45"/>
      </w:numPr>
    </w:pPr>
  </w:style>
  <w:style w:type="numbering" w:customStyle="1" w:styleId="WWNum35">
    <w:name w:val="WWNum35"/>
    <w:basedOn w:val="Semlista"/>
    <w:pPr>
      <w:numPr>
        <w:numId w:val="46"/>
      </w:numPr>
    </w:pPr>
  </w:style>
  <w:style w:type="numbering" w:customStyle="1" w:styleId="WWNum36">
    <w:name w:val="WWNum36"/>
    <w:basedOn w:val="Semlista"/>
    <w:pPr>
      <w:numPr>
        <w:numId w:val="47"/>
      </w:numPr>
    </w:pPr>
  </w:style>
  <w:style w:type="numbering" w:customStyle="1" w:styleId="WWNum37">
    <w:name w:val="WWNum37"/>
    <w:basedOn w:val="Semlista"/>
    <w:pPr>
      <w:numPr>
        <w:numId w:val="48"/>
      </w:numPr>
    </w:pPr>
  </w:style>
  <w:style w:type="numbering" w:customStyle="1" w:styleId="WWNum38">
    <w:name w:val="WWNum38"/>
    <w:basedOn w:val="Semlista"/>
    <w:pPr>
      <w:numPr>
        <w:numId w:val="49"/>
      </w:numPr>
    </w:pPr>
  </w:style>
  <w:style w:type="numbering" w:customStyle="1" w:styleId="WWNum39">
    <w:name w:val="WWNum39"/>
    <w:basedOn w:val="Semlista"/>
    <w:pPr>
      <w:numPr>
        <w:numId w:val="50"/>
      </w:numPr>
    </w:pPr>
  </w:style>
  <w:style w:type="numbering" w:customStyle="1" w:styleId="WWNum40">
    <w:name w:val="WWNum40"/>
    <w:basedOn w:val="Semlista"/>
    <w:pPr>
      <w:numPr>
        <w:numId w:val="51"/>
      </w:numPr>
    </w:pPr>
  </w:style>
  <w:style w:type="numbering" w:customStyle="1" w:styleId="WWNum41">
    <w:name w:val="WWNum41"/>
    <w:basedOn w:val="Semlista"/>
    <w:pPr>
      <w:numPr>
        <w:numId w:val="52"/>
      </w:numPr>
    </w:pPr>
  </w:style>
  <w:style w:type="numbering" w:customStyle="1" w:styleId="WWNum42">
    <w:name w:val="WWNum42"/>
    <w:basedOn w:val="Semlista"/>
    <w:pPr>
      <w:numPr>
        <w:numId w:val="53"/>
      </w:numPr>
    </w:pPr>
  </w:style>
  <w:style w:type="numbering" w:customStyle="1" w:styleId="WWNum43">
    <w:name w:val="WWNum43"/>
    <w:basedOn w:val="Semlista"/>
    <w:pPr>
      <w:numPr>
        <w:numId w:val="54"/>
      </w:numPr>
    </w:pPr>
  </w:style>
  <w:style w:type="numbering" w:customStyle="1" w:styleId="WWNum44">
    <w:name w:val="WWNum44"/>
    <w:basedOn w:val="Semlista"/>
    <w:pPr>
      <w:numPr>
        <w:numId w:val="55"/>
      </w:numPr>
    </w:pPr>
  </w:style>
  <w:style w:type="numbering" w:customStyle="1" w:styleId="WWNum45">
    <w:name w:val="WWNum45"/>
    <w:basedOn w:val="Semlista"/>
    <w:pPr>
      <w:numPr>
        <w:numId w:val="56"/>
      </w:numPr>
    </w:pPr>
  </w:style>
  <w:style w:type="numbering" w:customStyle="1" w:styleId="WWNum46">
    <w:name w:val="WWNum46"/>
    <w:basedOn w:val="Semlista"/>
    <w:pPr>
      <w:numPr>
        <w:numId w:val="57"/>
      </w:numPr>
    </w:pPr>
  </w:style>
  <w:style w:type="numbering" w:customStyle="1" w:styleId="WWNum47">
    <w:name w:val="WWNum47"/>
    <w:basedOn w:val="Semlista"/>
    <w:pPr>
      <w:numPr>
        <w:numId w:val="58"/>
      </w:numPr>
    </w:pPr>
  </w:style>
  <w:style w:type="numbering" w:customStyle="1" w:styleId="WWNum48">
    <w:name w:val="WWNum48"/>
    <w:basedOn w:val="Semlista"/>
    <w:pPr>
      <w:numPr>
        <w:numId w:val="59"/>
      </w:numPr>
    </w:pPr>
  </w:style>
  <w:style w:type="numbering" w:customStyle="1" w:styleId="WWNum49">
    <w:name w:val="WWNum49"/>
    <w:basedOn w:val="Semlista"/>
    <w:pPr>
      <w:numPr>
        <w:numId w:val="60"/>
      </w:numPr>
    </w:pPr>
  </w:style>
  <w:style w:type="numbering" w:customStyle="1" w:styleId="WWNum50">
    <w:name w:val="WWNum50"/>
    <w:basedOn w:val="Semlista"/>
    <w:pPr>
      <w:numPr>
        <w:numId w:val="61"/>
      </w:numPr>
    </w:pPr>
  </w:style>
  <w:style w:type="numbering" w:customStyle="1" w:styleId="WWNum51">
    <w:name w:val="WWNum51"/>
    <w:basedOn w:val="Semlista"/>
    <w:pPr>
      <w:numPr>
        <w:numId w:val="62"/>
      </w:numPr>
    </w:pPr>
  </w:style>
  <w:style w:type="numbering" w:customStyle="1" w:styleId="WWNum52">
    <w:name w:val="WWNum52"/>
    <w:basedOn w:val="Semlista"/>
    <w:pPr>
      <w:numPr>
        <w:numId w:val="63"/>
      </w:numPr>
    </w:pPr>
  </w:style>
  <w:style w:type="numbering" w:customStyle="1" w:styleId="WWNum53">
    <w:name w:val="WWNum53"/>
    <w:basedOn w:val="Semlista"/>
    <w:pPr>
      <w:numPr>
        <w:numId w:val="64"/>
      </w:numPr>
    </w:pPr>
  </w:style>
  <w:style w:type="numbering" w:customStyle="1" w:styleId="WWNum54">
    <w:name w:val="WWNum54"/>
    <w:basedOn w:val="Semlista"/>
    <w:pPr>
      <w:numPr>
        <w:numId w:val="65"/>
      </w:numPr>
    </w:pPr>
  </w:style>
  <w:style w:type="numbering" w:customStyle="1" w:styleId="WWNum55">
    <w:name w:val="WWNum55"/>
    <w:basedOn w:val="Semlista"/>
    <w:pPr>
      <w:numPr>
        <w:numId w:val="66"/>
      </w:numPr>
    </w:pPr>
  </w:style>
  <w:style w:type="numbering" w:customStyle="1" w:styleId="WWNum56">
    <w:name w:val="WWNum56"/>
    <w:basedOn w:val="Semlista"/>
    <w:pPr>
      <w:numPr>
        <w:numId w:val="67"/>
      </w:numPr>
    </w:pPr>
  </w:style>
  <w:style w:type="numbering" w:customStyle="1" w:styleId="WWNum57">
    <w:name w:val="WWNum57"/>
    <w:basedOn w:val="Semlista"/>
    <w:pPr>
      <w:numPr>
        <w:numId w:val="68"/>
      </w:numPr>
    </w:pPr>
  </w:style>
  <w:style w:type="numbering" w:customStyle="1" w:styleId="WWNum58">
    <w:name w:val="WWNum58"/>
    <w:basedOn w:val="Semlista"/>
    <w:pPr>
      <w:numPr>
        <w:numId w:val="69"/>
      </w:numPr>
    </w:pPr>
  </w:style>
  <w:style w:type="numbering" w:customStyle="1" w:styleId="WWNum59">
    <w:name w:val="WWNum59"/>
    <w:basedOn w:val="Semlista"/>
    <w:pPr>
      <w:numPr>
        <w:numId w:val="70"/>
      </w:numPr>
    </w:pPr>
  </w:style>
  <w:style w:type="numbering" w:customStyle="1" w:styleId="WWNum60">
    <w:name w:val="WWNum60"/>
    <w:basedOn w:val="Semlista"/>
    <w:pPr>
      <w:numPr>
        <w:numId w:val="71"/>
      </w:numPr>
    </w:pPr>
  </w:style>
  <w:style w:type="numbering" w:customStyle="1" w:styleId="WWNum61">
    <w:name w:val="WWNum61"/>
    <w:basedOn w:val="Semlista"/>
    <w:pPr>
      <w:numPr>
        <w:numId w:val="72"/>
      </w:numPr>
    </w:pPr>
  </w:style>
  <w:style w:type="numbering" w:customStyle="1" w:styleId="WWNum62">
    <w:name w:val="WWNum62"/>
    <w:basedOn w:val="Semlista"/>
    <w:pPr>
      <w:numPr>
        <w:numId w:val="73"/>
      </w:numPr>
    </w:pPr>
  </w:style>
  <w:style w:type="numbering" w:customStyle="1" w:styleId="WWNum63">
    <w:name w:val="WWNum63"/>
    <w:basedOn w:val="Semlista"/>
    <w:pPr>
      <w:numPr>
        <w:numId w:val="74"/>
      </w:numPr>
    </w:pPr>
  </w:style>
  <w:style w:type="numbering" w:customStyle="1" w:styleId="WWNum64">
    <w:name w:val="WWNum64"/>
    <w:basedOn w:val="Semlista"/>
    <w:pPr>
      <w:numPr>
        <w:numId w:val="75"/>
      </w:numPr>
    </w:pPr>
  </w:style>
  <w:style w:type="numbering" w:customStyle="1" w:styleId="WWNum65">
    <w:name w:val="WWNum65"/>
    <w:basedOn w:val="Semlista"/>
    <w:pPr>
      <w:numPr>
        <w:numId w:val="76"/>
      </w:numPr>
    </w:pPr>
  </w:style>
  <w:style w:type="numbering" w:customStyle="1" w:styleId="WWNum66">
    <w:name w:val="WWNum66"/>
    <w:basedOn w:val="Semlista"/>
    <w:pPr>
      <w:numPr>
        <w:numId w:val="77"/>
      </w:numPr>
    </w:pPr>
  </w:style>
  <w:style w:type="numbering" w:customStyle="1" w:styleId="WWNum67">
    <w:name w:val="WWNum67"/>
    <w:basedOn w:val="Semlista"/>
    <w:pPr>
      <w:numPr>
        <w:numId w:val="78"/>
      </w:numPr>
    </w:pPr>
  </w:style>
  <w:style w:type="numbering" w:customStyle="1" w:styleId="WWNum68">
    <w:name w:val="WWNum68"/>
    <w:basedOn w:val="Semlista"/>
    <w:pPr>
      <w:numPr>
        <w:numId w:val="79"/>
      </w:numPr>
    </w:pPr>
  </w:style>
  <w:style w:type="numbering" w:customStyle="1" w:styleId="WWNum69">
    <w:name w:val="WWNum69"/>
    <w:basedOn w:val="Semlista"/>
    <w:pPr>
      <w:numPr>
        <w:numId w:val="80"/>
      </w:numPr>
    </w:pPr>
  </w:style>
  <w:style w:type="numbering" w:customStyle="1" w:styleId="WWNum70">
    <w:name w:val="WWNum70"/>
    <w:basedOn w:val="Semlista"/>
    <w:pPr>
      <w:numPr>
        <w:numId w:val="81"/>
      </w:numPr>
    </w:pPr>
  </w:style>
  <w:style w:type="numbering" w:customStyle="1" w:styleId="WWNum71">
    <w:name w:val="WWNum71"/>
    <w:basedOn w:val="Semlista"/>
    <w:pPr>
      <w:numPr>
        <w:numId w:val="82"/>
      </w:numPr>
    </w:pPr>
  </w:style>
  <w:style w:type="numbering" w:customStyle="1" w:styleId="WWNum72">
    <w:name w:val="WWNum72"/>
    <w:basedOn w:val="Semlista"/>
    <w:pPr>
      <w:numPr>
        <w:numId w:val="83"/>
      </w:numPr>
    </w:pPr>
  </w:style>
  <w:style w:type="numbering" w:customStyle="1" w:styleId="WWNum73">
    <w:name w:val="WWNum73"/>
    <w:basedOn w:val="Semlista"/>
    <w:pPr>
      <w:numPr>
        <w:numId w:val="84"/>
      </w:numPr>
    </w:pPr>
  </w:style>
  <w:style w:type="numbering" w:customStyle="1" w:styleId="WWNum74">
    <w:name w:val="WWNum74"/>
    <w:basedOn w:val="Semlista"/>
    <w:pPr>
      <w:numPr>
        <w:numId w:val="85"/>
      </w:numPr>
    </w:pPr>
  </w:style>
  <w:style w:type="numbering" w:customStyle="1" w:styleId="WWNum75">
    <w:name w:val="WWNum75"/>
    <w:basedOn w:val="Semlista"/>
    <w:pPr>
      <w:numPr>
        <w:numId w:val="86"/>
      </w:numPr>
    </w:pPr>
  </w:style>
  <w:style w:type="numbering" w:customStyle="1" w:styleId="WWNum76">
    <w:name w:val="WWNum76"/>
    <w:basedOn w:val="Semlista"/>
    <w:pPr>
      <w:numPr>
        <w:numId w:val="87"/>
      </w:numPr>
    </w:pPr>
  </w:style>
  <w:style w:type="numbering" w:customStyle="1" w:styleId="WWNum77">
    <w:name w:val="WWNum77"/>
    <w:basedOn w:val="Semlista"/>
    <w:pPr>
      <w:numPr>
        <w:numId w:val="88"/>
      </w:numPr>
    </w:pPr>
  </w:style>
  <w:style w:type="numbering" w:customStyle="1" w:styleId="WWNum78">
    <w:name w:val="WWNum78"/>
    <w:basedOn w:val="Semlista"/>
    <w:pPr>
      <w:numPr>
        <w:numId w:val="89"/>
      </w:numPr>
    </w:pPr>
  </w:style>
  <w:style w:type="numbering" w:customStyle="1" w:styleId="WWNum79">
    <w:name w:val="WWNum79"/>
    <w:basedOn w:val="Semlista"/>
    <w:pPr>
      <w:numPr>
        <w:numId w:val="90"/>
      </w:numPr>
    </w:pPr>
  </w:style>
  <w:style w:type="numbering" w:customStyle="1" w:styleId="WWNum80">
    <w:name w:val="WWNum80"/>
    <w:basedOn w:val="Semlista"/>
    <w:pPr>
      <w:numPr>
        <w:numId w:val="91"/>
      </w:numPr>
    </w:pPr>
  </w:style>
  <w:style w:type="numbering" w:customStyle="1" w:styleId="WWNum81">
    <w:name w:val="WWNum81"/>
    <w:basedOn w:val="Semlista"/>
    <w:pPr>
      <w:numPr>
        <w:numId w:val="92"/>
      </w:numPr>
    </w:pPr>
  </w:style>
  <w:style w:type="numbering" w:customStyle="1" w:styleId="WWNum82">
    <w:name w:val="WWNum82"/>
    <w:basedOn w:val="Semlista"/>
    <w:pPr>
      <w:numPr>
        <w:numId w:val="93"/>
      </w:numPr>
    </w:pPr>
  </w:style>
  <w:style w:type="numbering" w:customStyle="1" w:styleId="WWNum83">
    <w:name w:val="WWNum83"/>
    <w:basedOn w:val="Semlista"/>
    <w:pPr>
      <w:numPr>
        <w:numId w:val="94"/>
      </w:numPr>
    </w:pPr>
  </w:style>
  <w:style w:type="numbering" w:customStyle="1" w:styleId="WWNum84">
    <w:name w:val="WWNum84"/>
    <w:basedOn w:val="Semlista"/>
    <w:pPr>
      <w:numPr>
        <w:numId w:val="95"/>
      </w:numPr>
    </w:pPr>
  </w:style>
  <w:style w:type="numbering" w:customStyle="1" w:styleId="WWNum85">
    <w:name w:val="WWNum85"/>
    <w:basedOn w:val="Semlista"/>
    <w:pPr>
      <w:numPr>
        <w:numId w:val="96"/>
      </w:numPr>
    </w:pPr>
  </w:style>
  <w:style w:type="numbering" w:customStyle="1" w:styleId="WWNum86">
    <w:name w:val="WWNum86"/>
    <w:basedOn w:val="Semlista"/>
    <w:pPr>
      <w:numPr>
        <w:numId w:val="97"/>
      </w:numPr>
    </w:pPr>
  </w:style>
  <w:style w:type="numbering" w:customStyle="1" w:styleId="WWNum87">
    <w:name w:val="WWNum87"/>
    <w:basedOn w:val="Semlista"/>
    <w:pPr>
      <w:numPr>
        <w:numId w:val="98"/>
      </w:numPr>
    </w:pPr>
  </w:style>
  <w:style w:type="numbering" w:customStyle="1" w:styleId="WWNum88">
    <w:name w:val="WWNum88"/>
    <w:basedOn w:val="Semlista"/>
    <w:pPr>
      <w:numPr>
        <w:numId w:val="99"/>
      </w:numPr>
    </w:pPr>
  </w:style>
  <w:style w:type="numbering" w:customStyle="1" w:styleId="WWNum89">
    <w:name w:val="WWNum89"/>
    <w:basedOn w:val="Semlista"/>
    <w:pPr>
      <w:numPr>
        <w:numId w:val="100"/>
      </w:numPr>
    </w:pPr>
  </w:style>
  <w:style w:type="numbering" w:customStyle="1" w:styleId="WWNum90">
    <w:name w:val="WWNum90"/>
    <w:basedOn w:val="Semlista"/>
    <w:pPr>
      <w:numPr>
        <w:numId w:val="101"/>
      </w:numPr>
    </w:pPr>
  </w:style>
  <w:style w:type="numbering" w:customStyle="1" w:styleId="WWNum91">
    <w:name w:val="WWNum91"/>
    <w:basedOn w:val="Semlista"/>
    <w:pPr>
      <w:numPr>
        <w:numId w:val="102"/>
      </w:numPr>
    </w:pPr>
  </w:style>
  <w:style w:type="numbering" w:customStyle="1" w:styleId="WWNum92">
    <w:name w:val="WWNum92"/>
    <w:basedOn w:val="Semlista"/>
    <w:pPr>
      <w:numPr>
        <w:numId w:val="103"/>
      </w:numPr>
    </w:pPr>
  </w:style>
  <w:style w:type="numbering" w:customStyle="1" w:styleId="WWNum93">
    <w:name w:val="WWNum93"/>
    <w:basedOn w:val="Semlista"/>
    <w:pPr>
      <w:numPr>
        <w:numId w:val="104"/>
      </w:numPr>
    </w:pPr>
  </w:style>
  <w:style w:type="numbering" w:customStyle="1" w:styleId="WWNum94">
    <w:name w:val="WWNum94"/>
    <w:basedOn w:val="Semlista"/>
    <w:pPr>
      <w:numPr>
        <w:numId w:val="105"/>
      </w:numPr>
    </w:pPr>
  </w:style>
  <w:style w:type="numbering" w:customStyle="1" w:styleId="WWNum95">
    <w:name w:val="WWNum95"/>
    <w:basedOn w:val="Semlista"/>
    <w:pPr>
      <w:numPr>
        <w:numId w:val="106"/>
      </w:numPr>
    </w:pPr>
  </w:style>
  <w:style w:type="numbering" w:customStyle="1" w:styleId="WWNum96">
    <w:name w:val="WWNum96"/>
    <w:basedOn w:val="Semlista"/>
    <w:pPr>
      <w:numPr>
        <w:numId w:val="107"/>
      </w:numPr>
    </w:pPr>
  </w:style>
  <w:style w:type="numbering" w:customStyle="1" w:styleId="WWNum97">
    <w:name w:val="WWNum97"/>
    <w:basedOn w:val="Semlista"/>
    <w:pPr>
      <w:numPr>
        <w:numId w:val="108"/>
      </w:numPr>
    </w:pPr>
  </w:style>
  <w:style w:type="numbering" w:customStyle="1" w:styleId="WWNum98">
    <w:name w:val="WWNum98"/>
    <w:basedOn w:val="Semlista"/>
    <w:pPr>
      <w:numPr>
        <w:numId w:val="109"/>
      </w:numPr>
    </w:pPr>
  </w:style>
  <w:style w:type="numbering" w:customStyle="1" w:styleId="WWNum99">
    <w:name w:val="WWNum99"/>
    <w:basedOn w:val="Semlista"/>
    <w:pPr>
      <w:numPr>
        <w:numId w:val="110"/>
      </w:numPr>
    </w:pPr>
  </w:style>
  <w:style w:type="numbering" w:customStyle="1" w:styleId="WWNum100">
    <w:name w:val="WWNum100"/>
    <w:basedOn w:val="Semlista"/>
    <w:pPr>
      <w:numPr>
        <w:numId w:val="111"/>
      </w:numPr>
    </w:pPr>
  </w:style>
  <w:style w:type="numbering" w:customStyle="1" w:styleId="WWNum101">
    <w:name w:val="WWNum101"/>
    <w:basedOn w:val="Semlista"/>
    <w:pPr>
      <w:numPr>
        <w:numId w:val="112"/>
      </w:numPr>
    </w:pPr>
  </w:style>
  <w:style w:type="numbering" w:customStyle="1" w:styleId="WWNum102">
    <w:name w:val="WWNum102"/>
    <w:basedOn w:val="Semlista"/>
    <w:pPr>
      <w:numPr>
        <w:numId w:val="113"/>
      </w:numPr>
    </w:pPr>
  </w:style>
  <w:style w:type="numbering" w:customStyle="1" w:styleId="WW8Num2">
    <w:name w:val="WW8Num2"/>
    <w:basedOn w:val="Semlista"/>
    <w:pPr>
      <w:numPr>
        <w:numId w:val="114"/>
      </w:numPr>
    </w:pPr>
  </w:style>
  <w:style w:type="numbering" w:customStyle="1" w:styleId="WW8Num3">
    <w:name w:val="WW8Num3"/>
    <w:basedOn w:val="Semlista"/>
    <w:pPr>
      <w:numPr>
        <w:numId w:val="115"/>
      </w:numPr>
    </w:pPr>
  </w:style>
  <w:style w:type="numbering" w:customStyle="1" w:styleId="WW8Num1">
    <w:name w:val="WW8Num1"/>
    <w:basedOn w:val="Semlist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4095">
      <w:bodyDiv w:val="1"/>
      <w:marLeft w:val="0"/>
      <w:marRight w:val="0"/>
      <w:marTop w:val="0"/>
      <w:marBottom w:val="0"/>
      <w:divBdr>
        <w:top w:val="none" w:sz="0" w:space="0" w:color="auto"/>
        <w:left w:val="none" w:sz="0" w:space="0" w:color="auto"/>
        <w:bottom w:val="none" w:sz="0" w:space="0" w:color="auto"/>
        <w:right w:val="none" w:sz="0" w:space="0" w:color="auto"/>
      </w:divBdr>
    </w:div>
    <w:div w:id="1072002307">
      <w:bodyDiv w:val="1"/>
      <w:marLeft w:val="0"/>
      <w:marRight w:val="0"/>
      <w:marTop w:val="0"/>
      <w:marBottom w:val="0"/>
      <w:divBdr>
        <w:top w:val="none" w:sz="0" w:space="0" w:color="auto"/>
        <w:left w:val="none" w:sz="0" w:space="0" w:color="auto"/>
        <w:bottom w:val="none" w:sz="0" w:space="0" w:color="auto"/>
        <w:right w:val="none" w:sz="0" w:space="0" w:color="auto"/>
      </w:divBdr>
    </w:div>
    <w:div w:id="1579751175">
      <w:bodyDiv w:val="1"/>
      <w:marLeft w:val="0"/>
      <w:marRight w:val="0"/>
      <w:marTop w:val="0"/>
      <w:marBottom w:val="0"/>
      <w:divBdr>
        <w:top w:val="none" w:sz="0" w:space="0" w:color="auto"/>
        <w:left w:val="none" w:sz="0" w:space="0" w:color="auto"/>
        <w:bottom w:val="none" w:sz="0" w:space="0" w:color="auto"/>
        <w:right w:val="none" w:sz="0" w:space="0" w:color="auto"/>
      </w:divBdr>
    </w:div>
    <w:div w:id="20921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mailto:licitacoes@cnmp.mp.br" TargetMode="External"/><Relationship Id="rId17" Type="http://schemas.openxmlformats.org/officeDocument/2006/relationships/hyperlink" Target="mailto:cpl@cnmp.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cpl@cnmp.mp.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licitacoes@cnmp.mp.br" TargetMode="External"/><Relationship Id="rId19" Type="http://schemas.openxmlformats.org/officeDocument/2006/relationships/hyperlink" Target="http://www.cnmp.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74</Pages>
  <Words>18360</Words>
  <Characters>99145</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117271</CharactersWithSpaces>
  <SharedDoc>false</SharedDoc>
  <HLinks>
    <vt:vector size="84" baseType="variant">
      <vt:variant>
        <vt:i4>6225959</vt:i4>
      </vt:variant>
      <vt:variant>
        <vt:i4>39</vt:i4>
      </vt:variant>
      <vt:variant>
        <vt:i4>0</vt:i4>
      </vt:variant>
      <vt:variant>
        <vt:i4>5</vt:i4>
      </vt:variant>
      <vt:variant>
        <vt:lpwstr>mailto:cpl@cnmp.mp.br</vt:lpwstr>
      </vt:variant>
      <vt:variant>
        <vt:lpwstr/>
      </vt:variant>
      <vt:variant>
        <vt:i4>3670077</vt:i4>
      </vt:variant>
      <vt:variant>
        <vt:i4>36</vt:i4>
      </vt:variant>
      <vt:variant>
        <vt:i4>0</vt:i4>
      </vt:variant>
      <vt:variant>
        <vt:i4>5</vt:i4>
      </vt:variant>
      <vt:variant>
        <vt:lpwstr>http://www.cnmp.gov.br/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8257559</vt:i4>
      </vt:variant>
      <vt:variant>
        <vt:i4>30</vt:i4>
      </vt:variant>
      <vt:variant>
        <vt:i4>0</vt:i4>
      </vt:variant>
      <vt:variant>
        <vt:i4>5</vt:i4>
      </vt:variant>
      <vt:variant>
        <vt:lpwstr>mailto:cpl@cnmp.gov.br</vt:lpwstr>
      </vt:variant>
      <vt:variant>
        <vt:lpwstr/>
      </vt:variant>
      <vt:variant>
        <vt:i4>6619197</vt:i4>
      </vt:variant>
      <vt:variant>
        <vt:i4>27</vt:i4>
      </vt:variant>
      <vt:variant>
        <vt:i4>0</vt:i4>
      </vt:variant>
      <vt:variant>
        <vt:i4>5</vt:i4>
      </vt:variant>
      <vt:variant>
        <vt:lpwstr>http://www.tst.jus.br/certidao</vt:lpwstr>
      </vt:variant>
      <vt:variant>
        <vt:lpwstr/>
      </vt:variant>
      <vt:variant>
        <vt:i4>1114176</vt:i4>
      </vt:variant>
      <vt:variant>
        <vt:i4>24</vt:i4>
      </vt:variant>
      <vt:variant>
        <vt:i4>0</vt:i4>
      </vt:variant>
      <vt:variant>
        <vt:i4>5</vt:i4>
      </vt:variant>
      <vt:variant>
        <vt:lpwstr>http://www.cnj.jus.br/improbidade_adm/consultar_requerido.php</vt:lpwstr>
      </vt:variant>
      <vt:variant>
        <vt:lpwstr/>
      </vt:variant>
      <vt:variant>
        <vt:i4>393288</vt:i4>
      </vt:variant>
      <vt:variant>
        <vt:i4>21</vt:i4>
      </vt:variant>
      <vt:variant>
        <vt:i4>0</vt:i4>
      </vt:variant>
      <vt:variant>
        <vt:i4>5</vt:i4>
      </vt:variant>
      <vt:variant>
        <vt:lpwstr>http://www.portaldatransparencia.gov.br/ceis/</vt:lpwstr>
      </vt:variant>
      <vt:variant>
        <vt:lpwstr/>
      </vt:variant>
      <vt:variant>
        <vt:i4>6029383</vt:i4>
      </vt:variant>
      <vt:variant>
        <vt:i4>18</vt:i4>
      </vt:variant>
      <vt:variant>
        <vt:i4>0</vt:i4>
      </vt:variant>
      <vt:variant>
        <vt:i4>5</vt:i4>
      </vt:variant>
      <vt:variant>
        <vt:lpwstr>http://www.comprasnet.gov.br/</vt:lpwstr>
      </vt:variant>
      <vt:variant>
        <vt:lpwstr/>
      </vt:variant>
      <vt:variant>
        <vt:i4>7340037</vt:i4>
      </vt:variant>
      <vt:variant>
        <vt:i4>15</vt:i4>
      </vt:variant>
      <vt:variant>
        <vt:i4>0</vt:i4>
      </vt:variant>
      <vt:variant>
        <vt:i4>5</vt:i4>
      </vt:variant>
      <vt:variant>
        <vt:lpwstr>mailto:licitacoes@cnmp.mp.br</vt:lpwstr>
      </vt:variant>
      <vt:variant>
        <vt:lpwstr/>
      </vt:variant>
      <vt:variant>
        <vt:i4>7340037</vt:i4>
      </vt:variant>
      <vt:variant>
        <vt:i4>12</vt:i4>
      </vt:variant>
      <vt:variant>
        <vt:i4>0</vt:i4>
      </vt:variant>
      <vt:variant>
        <vt:i4>5</vt:i4>
      </vt:variant>
      <vt:variant>
        <vt:lpwstr>mailto:licitacoes@cnmp.mp.br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5</cp:revision>
  <cp:lastPrinted>2019-07-16T17:59:00Z</cp:lastPrinted>
  <dcterms:created xsi:type="dcterms:W3CDTF">2019-07-16T17:51:00Z</dcterms:created>
  <dcterms:modified xsi:type="dcterms:W3CDTF">2019-07-16T18:34:00Z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