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0B339B" w14:textId="77777777" w:rsidR="00917A6A" w:rsidRDefault="00561EBC">
      <w:pPr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1" locked="0" layoutInCell="1" allowOverlap="1" wp14:anchorId="4C29B7E7" wp14:editId="7781093B">
            <wp:simplePos x="0" y="0"/>
            <wp:positionH relativeFrom="column">
              <wp:posOffset>-85090</wp:posOffset>
            </wp:positionH>
            <wp:positionV relativeFrom="paragraph">
              <wp:posOffset>-149860</wp:posOffset>
            </wp:positionV>
            <wp:extent cx="2122170" cy="9804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980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78C2A" w14:textId="77777777" w:rsidR="00917A6A" w:rsidRDefault="00917A6A">
      <w:pPr>
        <w:rPr>
          <w:rFonts w:ascii="Arial" w:hAnsi="Arial" w:cs="Arial"/>
        </w:rPr>
      </w:pPr>
    </w:p>
    <w:p w14:paraId="5C58EC57" w14:textId="77777777" w:rsidR="00917A6A" w:rsidRDefault="00917A6A">
      <w:pPr>
        <w:rPr>
          <w:rFonts w:ascii="Arial" w:hAnsi="Arial" w:cs="Arial"/>
        </w:rPr>
      </w:pPr>
    </w:p>
    <w:p w14:paraId="5A6FB193" w14:textId="77777777" w:rsidR="00917A6A" w:rsidRDefault="00917A6A">
      <w:pPr>
        <w:rPr>
          <w:rFonts w:ascii="Arial" w:hAnsi="Arial" w:cs="Arial"/>
        </w:rPr>
      </w:pPr>
    </w:p>
    <w:p w14:paraId="09FC4ACB" w14:textId="77777777" w:rsidR="00917A6A" w:rsidRDefault="00917A6A">
      <w:pPr>
        <w:rPr>
          <w:rFonts w:ascii="Arial" w:hAnsi="Arial" w:cs="Arial"/>
        </w:rPr>
      </w:pPr>
    </w:p>
    <w:p w14:paraId="2ECE00EC" w14:textId="77777777" w:rsidR="00917A6A" w:rsidRDefault="00917A6A">
      <w:pPr>
        <w:pStyle w:val="Ttulodetabela"/>
        <w:snapToGrid w:val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</w:t>
      </w:r>
    </w:p>
    <w:p w14:paraId="300639E6" w14:textId="77777777" w:rsidR="00917A6A" w:rsidRDefault="00917A6A">
      <w:pPr>
        <w:pStyle w:val="Ttulodetabela"/>
        <w:snapToGrid w:val="0"/>
        <w:jc w:val="left"/>
        <w:rPr>
          <w:rFonts w:ascii="Arial" w:hAnsi="Arial" w:cs="Arial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32"/>
        </w:rPr>
        <w:t>Ficha de Projetos</w:t>
      </w:r>
    </w:p>
    <w:p w14:paraId="79E7F010" w14:textId="77777777" w:rsidR="00917A6A" w:rsidRDefault="00917A6A">
      <w:pPr>
        <w:pStyle w:val="Ttulodetabela"/>
        <w:snapToGrid w:val="0"/>
        <w:jc w:val="left"/>
        <w:rPr>
          <w:rFonts w:ascii="Arial" w:hAnsi="Arial" w:cs="Arial"/>
        </w:rPr>
      </w:pPr>
    </w:p>
    <w:p w14:paraId="51F188E7" w14:textId="77777777" w:rsidR="00917A6A" w:rsidRDefault="00917A6A">
      <w:pPr>
        <w:pStyle w:val="Ttulodetabela"/>
        <w:snapToGri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9"/>
        <w:gridCol w:w="10"/>
      </w:tblGrid>
      <w:tr w:rsidR="00917A6A" w14:paraId="54782A63" w14:textId="77777777" w:rsidTr="00DE7EB8">
        <w:trPr>
          <w:gridAfter w:val="1"/>
          <w:wAfter w:w="10" w:type="dxa"/>
          <w:trHeight w:val="470"/>
        </w:trPr>
        <w:tc>
          <w:tcPr>
            <w:tcW w:w="109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DDFC2" w14:textId="77777777" w:rsidR="00DE7EB8" w:rsidRDefault="00DE7EB8" w:rsidP="008516A2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1DE726" w14:textId="77777777" w:rsidR="00917A6A" w:rsidRDefault="00F876C0" w:rsidP="00EC7108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TRANSPARÊNCIA</w:t>
            </w:r>
          </w:p>
          <w:p w14:paraId="41397632" w14:textId="77777777" w:rsidR="00DE7EB8" w:rsidRDefault="00DE7EB8" w:rsidP="008516A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17A6A" w14:paraId="7332939A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000B"/>
          </w:tcPr>
          <w:p w14:paraId="20FF0A15" w14:textId="77777777" w:rsidR="00917A6A" w:rsidRDefault="00917A6A">
            <w:pPr>
              <w:pStyle w:val="Ttulode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OBJETIVOS</w:t>
            </w:r>
          </w:p>
        </w:tc>
      </w:tr>
      <w:tr w:rsidR="00917A6A" w14:paraId="49706665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6558230" w14:textId="77777777" w:rsidR="00917A6A" w:rsidRPr="00227D9D" w:rsidRDefault="00917A6A">
            <w:pPr>
              <w:pStyle w:val="Ttulodetabela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 Geral</w:t>
            </w:r>
          </w:p>
        </w:tc>
      </w:tr>
      <w:tr w:rsidR="00917A6A" w14:paraId="5AAF102A" w14:textId="77777777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50D60" w14:textId="62E5A4A5" w:rsidR="00917A6A" w:rsidRPr="0027279B" w:rsidRDefault="008516A2" w:rsidP="008516A2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79B">
              <w:rPr>
                <w:rFonts w:ascii="Arial" w:hAnsi="Arial" w:cs="Arial"/>
                <w:sz w:val="22"/>
                <w:szCs w:val="22"/>
              </w:rPr>
              <w:t>Fomentar a</w:t>
            </w:r>
            <w:r w:rsidR="00917A6A" w:rsidRPr="0027279B">
              <w:rPr>
                <w:rFonts w:ascii="Arial" w:hAnsi="Arial" w:cs="Arial"/>
                <w:sz w:val="22"/>
                <w:szCs w:val="22"/>
              </w:rPr>
              <w:t xml:space="preserve"> atuação preventiva e repressiva </w:t>
            </w:r>
            <w:r w:rsidRPr="0027279B">
              <w:rPr>
                <w:rFonts w:ascii="Arial" w:hAnsi="Arial" w:cs="Arial"/>
                <w:sz w:val="22"/>
                <w:szCs w:val="22"/>
              </w:rPr>
              <w:t xml:space="preserve">do Ministério Público brasileiro </w:t>
            </w:r>
            <w:r w:rsidR="00917A6A" w:rsidRPr="0027279B">
              <w:rPr>
                <w:rFonts w:ascii="Arial" w:hAnsi="Arial" w:cs="Arial"/>
                <w:sz w:val="22"/>
                <w:szCs w:val="22"/>
              </w:rPr>
              <w:t xml:space="preserve">na fiscalização do cumprimento da </w:t>
            </w:r>
            <w:r w:rsidR="00917A6A" w:rsidRPr="0027279B">
              <w:rPr>
                <w:rFonts w:ascii="Arial" w:hAnsi="Arial" w:cs="Arial"/>
                <w:b/>
                <w:sz w:val="22"/>
                <w:szCs w:val="22"/>
              </w:rPr>
              <w:t>Lei n. º 12.527/2011 (Lei de Acesso à Informação - LAI)</w:t>
            </w:r>
            <w:r w:rsidR="00917A6A" w:rsidRPr="0027279B">
              <w:rPr>
                <w:rFonts w:ascii="Arial" w:hAnsi="Arial" w:cs="Arial"/>
                <w:sz w:val="22"/>
                <w:szCs w:val="22"/>
              </w:rPr>
              <w:t xml:space="preserve"> e da </w:t>
            </w:r>
            <w:r w:rsidR="00917A6A" w:rsidRPr="0027279B">
              <w:rPr>
                <w:rFonts w:ascii="Arial" w:hAnsi="Arial" w:cs="Arial"/>
                <w:b/>
                <w:sz w:val="22"/>
                <w:szCs w:val="22"/>
              </w:rPr>
              <w:t>Lei Complementar 131/2009</w:t>
            </w:r>
            <w:r w:rsidR="00EC7108" w:rsidRPr="0027279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7A6A" w14:paraId="2A3C97F7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90BF181" w14:textId="77777777" w:rsidR="00917A6A" w:rsidRDefault="00917A6A">
            <w:pPr>
              <w:pStyle w:val="Ttulodetabela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Objetivos específicos</w:t>
            </w:r>
          </w:p>
        </w:tc>
      </w:tr>
      <w:tr w:rsidR="00917A6A" w14:paraId="6C30835A" w14:textId="77777777" w:rsidTr="005F4EE8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719E97C0" w14:textId="06FD53DF" w:rsidR="00917A6A" w:rsidRDefault="00917A6A" w:rsidP="006E5C2E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  <w:r>
              <w:rPr>
                <w:rFonts w:ascii="Arial" w:hAnsi="Arial" w:cs="Arial"/>
                <w:sz w:val="22"/>
                <w:szCs w:val="22"/>
              </w:rPr>
              <w:t xml:space="preserve"> 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>com a Controladoria-Geral da União (CGU)</w:t>
            </w:r>
            <w:r w:rsidR="008516A2">
              <w:rPr>
                <w:rFonts w:ascii="Arial" w:hAnsi="Arial" w:cs="Arial"/>
                <w:sz w:val="22"/>
                <w:szCs w:val="22"/>
              </w:rPr>
              <w:t xml:space="preserve"> e a Associação dos membros de Tribunais de Contas do Brasil </w:t>
            </w:r>
            <w:r w:rsidR="005038B8">
              <w:rPr>
                <w:rFonts w:ascii="Arial" w:hAnsi="Arial" w:cs="Arial"/>
                <w:sz w:val="22"/>
                <w:szCs w:val="22"/>
              </w:rPr>
              <w:t>(</w:t>
            </w:r>
            <w:r w:rsidR="006E5C2E">
              <w:rPr>
                <w:rFonts w:ascii="Arial" w:hAnsi="Arial" w:cs="Arial"/>
                <w:sz w:val="22"/>
                <w:szCs w:val="22"/>
              </w:rPr>
              <w:t>ATRICON</w:t>
            </w:r>
            <w:r w:rsidR="005038B8">
              <w:rPr>
                <w:rFonts w:ascii="Arial" w:hAnsi="Arial" w:cs="Arial"/>
                <w:sz w:val="22"/>
                <w:szCs w:val="22"/>
              </w:rPr>
              <w:t>)</w:t>
            </w:r>
            <w:r w:rsidR="008516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mediante a celebração de acordo de cooperação;</w:t>
            </w:r>
          </w:p>
        </w:tc>
      </w:tr>
      <w:tr w:rsidR="008516A2" w14:paraId="623DADB7" w14:textId="77777777" w:rsidTr="005F4EE8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C2C1566" w14:textId="2E37DDA8" w:rsidR="008516A2" w:rsidRDefault="00FD6C1E" w:rsidP="008516A2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Elaborar plano de ação conjunta CNMP, CGU e ATRICON no propósito de fomentar o compartilhamento de informações e </w:t>
            </w:r>
            <w:r>
              <w:rPr>
                <w:rFonts w:ascii="Arial" w:hAnsi="Arial" w:cs="Arial"/>
                <w:sz w:val="22"/>
                <w:szCs w:val="22"/>
              </w:rPr>
              <w:t xml:space="preserve">a realização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diagnósticos</w:t>
            </w:r>
            <w:r>
              <w:rPr>
                <w:rFonts w:ascii="Arial" w:hAnsi="Arial" w:cs="Arial"/>
                <w:sz w:val="22"/>
                <w:szCs w:val="22"/>
              </w:rPr>
              <w:t xml:space="preserve"> acerca da implementação da Lei n. º 12.527/2011 (Lei de Acesso à Informação – LAI) e da Lei Complementar 131/2009, bem como a realização de </w:t>
            </w:r>
            <w:r w:rsidRPr="005038B8">
              <w:rPr>
                <w:rFonts w:ascii="Arial" w:hAnsi="Arial" w:cs="Arial"/>
                <w:b/>
                <w:sz w:val="22"/>
                <w:szCs w:val="22"/>
              </w:rPr>
              <w:t>ações de investigação em âmbito local</w:t>
            </w:r>
            <w:r>
              <w:rPr>
                <w:rFonts w:ascii="Arial" w:hAnsi="Arial" w:cs="Arial"/>
                <w:sz w:val="22"/>
                <w:szCs w:val="22"/>
              </w:rPr>
              <w:t xml:space="preserve"> e outras iniciativas;</w:t>
            </w:r>
          </w:p>
        </w:tc>
      </w:tr>
      <w:tr w:rsidR="005038B8" w14:paraId="3163FD0A" w14:textId="77777777" w:rsidTr="005F4EE8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733E2024" w14:textId="77777777" w:rsidR="005038B8" w:rsidRDefault="005038B8" w:rsidP="005038B8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>com o Colégio de Diretores de Escolas e Centros de Estudos e Aperfeiçoamento Funcional dos Ministérios Públicos do Brasil (CDEMP) mediante a celebração de acordo de cooperação;</w:t>
            </w:r>
          </w:p>
        </w:tc>
      </w:tr>
      <w:tr w:rsidR="00917A6A" w14:paraId="6BBC3A4D" w14:textId="77777777" w:rsidTr="005F4EE8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3EF3B21" w14:textId="648CA9C6" w:rsidR="00917A6A" w:rsidRDefault="00FD6C1E" w:rsidP="005038B8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IV.</w:t>
            </w:r>
            <w:r>
              <w:rPr>
                <w:rFonts w:ascii="Arial" w:hAnsi="Arial" w:cs="Arial"/>
                <w:sz w:val="22"/>
                <w:szCs w:val="22"/>
              </w:rPr>
              <w:t xml:space="preserve"> Estimular o </w:t>
            </w:r>
            <w:r>
              <w:rPr>
                <w:rFonts w:ascii="Arial" w:hAnsi="Arial" w:cs="Arial"/>
                <w:b/>
                <w:sz w:val="22"/>
                <w:szCs w:val="22"/>
              </w:rPr>
              <w:t>intercâmbio de boas práticas e o compartilhamento de conhecimento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visando a potencializar a fiscalização do cumprimento Lei n.º 12.527/2011 (Lei de Acesso à Informação – LAI) e da Lei Complementar nº 101/2000 (LRF), na redação que lhe foi dada pela Lei Complementar 131/2009, mediante realização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ações educacionais voltadas para membros e servidores do Ministério Público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F4EE8" w14:paraId="684C5C2A" w14:textId="77777777" w:rsidTr="005F4EE8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F158998" w14:textId="569BAFCA" w:rsidR="005F4EE8" w:rsidRDefault="00FD6C1E" w:rsidP="00E0312B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Promover a </w:t>
            </w:r>
            <w:r w:rsidRPr="00A6310E">
              <w:rPr>
                <w:rFonts w:ascii="Arial" w:hAnsi="Arial" w:cs="Arial"/>
                <w:b/>
                <w:bCs/>
                <w:sz w:val="22"/>
                <w:szCs w:val="22"/>
              </w:rPr>
              <w:t>divulgação de conteúdo formativo e informativo sobre o exercício da cidadania fiscal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mediante campanha, inclusive na internet e nas redes sociais, e com a produção de publicação – eletrônica e impressa – buscando incentivar o acompanhamento pela sociedade da aplicação dos recursos públicos;</w:t>
            </w:r>
          </w:p>
        </w:tc>
      </w:tr>
      <w:tr w:rsidR="00FD6C1E" w14:paraId="626B3423" w14:textId="77777777" w:rsidTr="005F4EE8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3AC41F5" w14:textId="45BBFE47" w:rsidR="00FD6C1E" w:rsidRDefault="00FD6C1E" w:rsidP="00E0312B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VI. </w:t>
            </w:r>
            <w:r w:rsidRPr="00E361B7">
              <w:rPr>
                <w:rFonts w:ascii="Arial" w:hAnsi="Arial" w:cs="Arial"/>
                <w:bCs/>
                <w:sz w:val="22"/>
                <w:szCs w:val="22"/>
              </w:rPr>
              <w:t>Elaboração de guia de atuação ministerial, de caráter informativo e sugestivo, voltado ao cumprimento das exigências estabelecidas pela Lei Complementar nº 131/2009.</w:t>
            </w:r>
          </w:p>
        </w:tc>
      </w:tr>
      <w:tr w:rsidR="00917A6A" w14:paraId="350C2816" w14:textId="77777777" w:rsidTr="005F4EE8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478B031" w14:textId="729DFA30" w:rsidR="00917A6A" w:rsidRDefault="00FD6C1E" w:rsidP="009C3BDC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VII.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Desenvolver, a partir de diagnósticos, ações direcionadas à fiscalização do cumprimento, pelos </w:t>
            </w:r>
            <w:r w:rsidRPr="00A6310E">
              <w:rPr>
                <w:rFonts w:ascii="Arial" w:hAnsi="Arial" w:cs="Arial"/>
                <w:b/>
                <w:bCs/>
                <w:sz w:val="22"/>
                <w:szCs w:val="22"/>
              </w:rPr>
              <w:t>municípios brasileiros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das exigências estabelecidas pela </w:t>
            </w:r>
            <w:r>
              <w:rPr>
                <w:rFonts w:ascii="Arial" w:hAnsi="Arial" w:cs="Arial"/>
                <w:sz w:val="22"/>
                <w:szCs w:val="22"/>
              </w:rPr>
              <w:t xml:space="preserve">Lei Complementar nº 131/2009, em especial no que concerne à </w:t>
            </w:r>
            <w:r w:rsidRPr="00A6310E">
              <w:rPr>
                <w:rFonts w:ascii="Arial" w:hAnsi="Arial" w:cs="Arial"/>
                <w:b/>
                <w:sz w:val="22"/>
                <w:szCs w:val="22"/>
              </w:rPr>
              <w:t>criação dos respectivos portais de transparência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917A6A" w14:paraId="4A349D3C" w14:textId="77777777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000B"/>
          </w:tcPr>
          <w:p w14:paraId="2E6A9721" w14:textId="77777777" w:rsidR="00917A6A" w:rsidRPr="00A6310E" w:rsidRDefault="00917A6A">
            <w:pPr>
              <w:pStyle w:val="Ttulodetabela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310E">
              <w:rPr>
                <w:rFonts w:ascii="Arial" w:hAnsi="Arial" w:cs="Arial"/>
                <w:color w:val="FFFFFF"/>
                <w:sz w:val="22"/>
                <w:szCs w:val="22"/>
              </w:rPr>
              <w:t>INDICADORES</w:t>
            </w:r>
            <w:r w:rsidRPr="00A6310E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 </w:t>
            </w:r>
          </w:p>
        </w:tc>
      </w:tr>
      <w:tr w:rsidR="00A6310E" w14:paraId="714D1B52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5F80F53D" w14:textId="75BB1A02" w:rsidR="00A6310E" w:rsidRDefault="00A6310E" w:rsidP="003A499D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  <w:r>
              <w:rPr>
                <w:rFonts w:ascii="Arial" w:hAnsi="Arial" w:cs="Arial"/>
                <w:sz w:val="22"/>
                <w:szCs w:val="22"/>
              </w:rPr>
              <w:t xml:space="preserve"> 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>com a Controladoria-Geral da União (CGU) e a Associação dos membros de Tribunais de Contas do Brasil (A</w:t>
            </w:r>
            <w:r w:rsidR="003A499D">
              <w:rPr>
                <w:rFonts w:ascii="Arial" w:hAnsi="Arial" w:cs="Arial"/>
                <w:sz w:val="22"/>
                <w:szCs w:val="22"/>
              </w:rPr>
              <w:t>TRICON</w:t>
            </w:r>
            <w:r>
              <w:rPr>
                <w:rFonts w:ascii="Arial" w:hAnsi="Arial" w:cs="Arial"/>
                <w:sz w:val="22"/>
                <w:szCs w:val="22"/>
              </w:rPr>
              <w:t>) mediante a celebração de acordo de cooperação;</w:t>
            </w:r>
          </w:p>
        </w:tc>
      </w:tr>
      <w:tr w:rsidR="00A6310E" w14:paraId="38841E8C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1E03CA" w14:textId="77777777" w:rsidR="00A6310E" w:rsidRDefault="00A6310E" w:rsidP="00917A6A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Acordo de Cooperação celebrado;</w:t>
            </w:r>
          </w:p>
        </w:tc>
      </w:tr>
      <w:tr w:rsidR="00A6310E" w14:paraId="44477F2E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F94A33F" w14:textId="5B969C19" w:rsidR="00A6310E" w:rsidRDefault="00A6310E" w:rsidP="00917A6A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Elaborar plano de ação conjunta CNMP, CGU e ATRICON no propósito de fomentar</w:t>
            </w:r>
            <w:r w:rsidR="00B12A97">
              <w:rPr>
                <w:rFonts w:ascii="Arial" w:hAnsi="Arial" w:cs="Arial"/>
                <w:bCs/>
                <w:sz w:val="22"/>
                <w:szCs w:val="22"/>
              </w:rPr>
              <w:t xml:space="preserve"> o compartilhamento de informações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realização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diagnósticos</w:t>
            </w:r>
            <w:r>
              <w:rPr>
                <w:rFonts w:ascii="Arial" w:hAnsi="Arial" w:cs="Arial"/>
                <w:sz w:val="22"/>
                <w:szCs w:val="22"/>
              </w:rPr>
              <w:t xml:space="preserve"> acerca da implementação da Lei n. º 12.527/2011 (Lei de Acesso à Informação </w:t>
            </w:r>
            <w:r w:rsidR="006E5C2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LAI) e da Lei Complementar 131/2009, bem como a realização de </w:t>
            </w:r>
            <w:r w:rsidRPr="005038B8">
              <w:rPr>
                <w:rFonts w:ascii="Arial" w:hAnsi="Arial" w:cs="Arial"/>
                <w:b/>
                <w:sz w:val="22"/>
                <w:szCs w:val="22"/>
              </w:rPr>
              <w:t>ações de investigação em âmbito local</w:t>
            </w:r>
            <w:r>
              <w:rPr>
                <w:rFonts w:ascii="Arial" w:hAnsi="Arial" w:cs="Arial"/>
                <w:sz w:val="22"/>
                <w:szCs w:val="22"/>
              </w:rPr>
              <w:t xml:space="preserve"> e outras iniciativas;</w:t>
            </w:r>
          </w:p>
        </w:tc>
      </w:tr>
      <w:tr w:rsidR="00A6310E" w14:paraId="032BA9A2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E6D2A5" w14:textId="77777777" w:rsidR="00A6310E" w:rsidRPr="00A6310E" w:rsidRDefault="00A6310E" w:rsidP="00A6310E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Plano de ação conjunta, com a previsão de indicadores específicos;</w:t>
            </w:r>
          </w:p>
        </w:tc>
      </w:tr>
      <w:tr w:rsidR="00A6310E" w14:paraId="46CA7301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D176D57" w14:textId="77777777" w:rsidR="00A6310E" w:rsidRDefault="00A6310E" w:rsidP="00917A6A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>com o Colégio de Diretores de Escolas e Centros de Estudos e Aperfeiçoamento Funcional dos Ministérios Públicos do Brasil (CDEMP) mediante a celebração de acordo de cooperação;</w:t>
            </w:r>
          </w:p>
        </w:tc>
      </w:tr>
      <w:tr w:rsidR="00A6310E" w14:paraId="3888C675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AADA62" w14:textId="77777777" w:rsidR="00A6310E" w:rsidRPr="00A6310E" w:rsidRDefault="00A6310E" w:rsidP="00917A6A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Acordo de Cooperação celebrado;</w:t>
            </w:r>
          </w:p>
        </w:tc>
      </w:tr>
      <w:tr w:rsidR="00A6310E" w14:paraId="0C4FF387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2323CB5" w14:textId="653F62E3" w:rsidR="00A6310E" w:rsidRPr="00F47530" w:rsidRDefault="00A6310E" w:rsidP="009E1475">
            <w:pPr>
              <w:pStyle w:val="Contedodatabe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IV.</w:t>
            </w:r>
            <w:r>
              <w:rPr>
                <w:rFonts w:ascii="Arial" w:hAnsi="Arial" w:cs="Arial"/>
                <w:sz w:val="22"/>
                <w:szCs w:val="22"/>
              </w:rPr>
              <w:t xml:space="preserve"> Estimular o </w:t>
            </w:r>
            <w:r>
              <w:rPr>
                <w:rFonts w:ascii="Arial" w:hAnsi="Arial" w:cs="Arial"/>
                <w:b/>
                <w:sz w:val="22"/>
                <w:szCs w:val="22"/>
              </w:rPr>
              <w:t>intercâmbio de boas práticas e o compartilhamento de conhecimento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visando a potencializar a fiscalização do cumprimento Lei n.º 12.527/2011 (Lei de Acesso à Informação </w:t>
            </w:r>
            <w:r w:rsidR="006E5C2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LAI) e da Lei</w:t>
            </w:r>
            <w:r w:rsidR="009E1475">
              <w:rPr>
                <w:rFonts w:ascii="Arial" w:hAnsi="Arial" w:cs="Arial"/>
                <w:sz w:val="22"/>
                <w:szCs w:val="22"/>
              </w:rPr>
              <w:t xml:space="preserve"> Complementar nº 101/2000 (LRF), na redação que lhe foi dada pela Lei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Complementar 131/2009, mediante realização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ações educacionais voltadas para membros e servidores do Ministério Público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47530" w14:paraId="585B7831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3E3A9C" w14:textId="77777777" w:rsidR="00F47530" w:rsidRPr="00F47530" w:rsidRDefault="00F47530" w:rsidP="00917A6A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Número de ações educacionais realizadas;</w:t>
            </w:r>
          </w:p>
        </w:tc>
      </w:tr>
      <w:tr w:rsidR="00F47530" w14:paraId="641E3CBA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1EE404" w14:textId="77777777" w:rsidR="00F47530" w:rsidRDefault="00F47530" w:rsidP="00917A6A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Número de membros do MP participantes;</w:t>
            </w:r>
          </w:p>
        </w:tc>
      </w:tr>
      <w:tr w:rsidR="00F47530" w14:paraId="3769932E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0C8C26" w14:textId="77777777" w:rsidR="00F47530" w:rsidRDefault="00F47530" w:rsidP="00917A6A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Número de servidores do MP participantes;</w:t>
            </w:r>
          </w:p>
        </w:tc>
      </w:tr>
      <w:tr w:rsidR="00F47530" w14:paraId="7C0510E6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400B79" w14:textId="77777777" w:rsidR="00F47530" w:rsidRDefault="00F47530" w:rsidP="00F47530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Número de unidades do Ministério Público que tiveram membros e servidores participantes</w:t>
            </w:r>
          </w:p>
        </w:tc>
      </w:tr>
      <w:tr w:rsidR="00F47530" w14:paraId="103E18DF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9662FA1" w14:textId="5B673505" w:rsidR="00F47530" w:rsidRDefault="0034798D" w:rsidP="006F428D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Promover a </w:t>
            </w:r>
            <w:r w:rsidRPr="00A6310E">
              <w:rPr>
                <w:rFonts w:ascii="Arial" w:hAnsi="Arial" w:cs="Arial"/>
                <w:b/>
                <w:bCs/>
                <w:sz w:val="22"/>
                <w:szCs w:val="22"/>
              </w:rPr>
              <w:t>divulgação de conteúdo formativo e informativo sobre o exercício da cidadania fiscal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mediante campanha</w:t>
            </w:r>
            <w:r w:rsidR="006F428D">
              <w:rPr>
                <w:rFonts w:ascii="Arial" w:hAnsi="Arial" w:cs="Arial"/>
                <w:bCs/>
                <w:sz w:val="22"/>
                <w:szCs w:val="22"/>
              </w:rPr>
              <w:t xml:space="preserve">, inclusive </w:t>
            </w:r>
            <w:r w:rsidR="00C362E3">
              <w:rPr>
                <w:rFonts w:ascii="Arial" w:hAnsi="Arial" w:cs="Arial"/>
                <w:bCs/>
                <w:sz w:val="22"/>
                <w:szCs w:val="22"/>
              </w:rPr>
              <w:t xml:space="preserve">na internet e nas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redes sociais</w:t>
            </w:r>
            <w:r w:rsidR="006F428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com a produção de publicação – eletrônica e impressa </w:t>
            </w:r>
            <w:r w:rsidR="006E5C2E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buscando incentivar o acompanhamento pela sociedade da aplicação dos recursos públicos;</w:t>
            </w:r>
          </w:p>
        </w:tc>
      </w:tr>
      <w:tr w:rsidR="00E0312B" w:rsidRPr="00A76CD3" w14:paraId="0F04D9C2" w14:textId="77777777" w:rsidTr="0034798D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083FF" w14:textId="77777777" w:rsidR="00E0312B" w:rsidRPr="00D05A13" w:rsidRDefault="00E0312B" w:rsidP="0034798D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Tiragem da publicação;</w:t>
            </w:r>
          </w:p>
        </w:tc>
      </w:tr>
      <w:tr w:rsidR="00E0312B" w:rsidRPr="00A76CD3" w14:paraId="70BC6A09" w14:textId="77777777" w:rsidTr="0034798D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8E5D" w14:textId="77777777" w:rsidR="00E0312B" w:rsidRPr="00D05A13" w:rsidRDefault="00E0312B" w:rsidP="0034798D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Número de unidades do MP destinatárias dos exemplares da publicação;</w:t>
            </w:r>
          </w:p>
        </w:tc>
      </w:tr>
      <w:tr w:rsidR="00E0312B" w:rsidRPr="00A76CD3" w14:paraId="44F04060" w14:textId="77777777" w:rsidTr="0034798D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CDCD3" w14:textId="77777777" w:rsidR="00E0312B" w:rsidRPr="00D05A13" w:rsidRDefault="00E0312B" w:rsidP="0034798D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Número de downloads da publicação no site do CNMP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47530" w14:paraId="526BBAFD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4CCD46" w14:textId="77777777" w:rsidR="00F47530" w:rsidRPr="00F47530" w:rsidRDefault="00F47530" w:rsidP="00F47530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Indicadores específicos relacionados ao alcance da campanha nas redes sociais (Número de visualizações e interações);</w:t>
            </w:r>
          </w:p>
        </w:tc>
      </w:tr>
      <w:tr w:rsidR="00E361B7" w14:paraId="5FB4404E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D3CC73D" w14:textId="6F9EBDCB" w:rsidR="00E361B7" w:rsidRDefault="00E361B7" w:rsidP="008D3189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VI. </w:t>
            </w:r>
            <w:r w:rsidRPr="00E361B7">
              <w:rPr>
                <w:rFonts w:ascii="Arial" w:hAnsi="Arial" w:cs="Arial"/>
                <w:bCs/>
                <w:sz w:val="22"/>
                <w:szCs w:val="22"/>
              </w:rPr>
              <w:t>Elaboração de guia de atuação ministerial, de caráter informativo e sugestivo, voltado ao cumprimento das exigências estabelecidas pela Lei Complementar nº 131/2009.</w:t>
            </w:r>
          </w:p>
        </w:tc>
      </w:tr>
      <w:tr w:rsidR="006E5C2E" w14:paraId="07840338" w14:textId="77777777" w:rsidTr="006E5C2E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7FF90" w14:textId="4E520FB4" w:rsidR="006E5C2E" w:rsidRDefault="006E5C2E" w:rsidP="006E5C2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Tiragem da publicação;</w:t>
            </w:r>
          </w:p>
        </w:tc>
      </w:tr>
      <w:tr w:rsidR="006E5C2E" w14:paraId="4689C962" w14:textId="77777777" w:rsidTr="006E5C2E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089F8" w14:textId="3D315883" w:rsidR="006E5C2E" w:rsidRDefault="006E5C2E" w:rsidP="006E5C2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Número de unidades do MP destinatárias dos exemplares da publicação;</w:t>
            </w:r>
          </w:p>
        </w:tc>
      </w:tr>
      <w:tr w:rsidR="00FD6C1E" w14:paraId="1BBA5593" w14:textId="77777777" w:rsidTr="006E5C2E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39C92" w14:textId="686FFE30" w:rsidR="00FD6C1E" w:rsidRPr="00D05A13" w:rsidRDefault="00FD6C1E" w:rsidP="00FD6C1E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Número de bibliotecas de instituições de ensino superior destinatárias da publicação;</w:t>
            </w:r>
          </w:p>
        </w:tc>
      </w:tr>
      <w:tr w:rsidR="00FD6C1E" w14:paraId="7FB29318" w14:textId="77777777" w:rsidTr="006E5C2E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E731A" w14:textId="2B775673" w:rsidR="00FD6C1E" w:rsidRPr="00D05A13" w:rsidRDefault="00FD6C1E" w:rsidP="00FD6C1E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Número de instituições públicas e organizações da sociedade civil destinatárias da publicação;</w:t>
            </w:r>
          </w:p>
        </w:tc>
      </w:tr>
      <w:tr w:rsidR="00FD6C1E" w14:paraId="33B8B7B4" w14:textId="77777777" w:rsidTr="006E5C2E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EB3E8" w14:textId="291D778D" w:rsidR="00FD6C1E" w:rsidRDefault="00FD6C1E" w:rsidP="00FD6C1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Número de downloads da publicação no site do CNMP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D6C1E" w14:paraId="0B9B8B1B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9F15D78" w14:textId="65ADDEF8" w:rsidR="00FD6C1E" w:rsidRDefault="00FD6C1E" w:rsidP="00FD6C1E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VII.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Desenvolver, a partir de diagnósticos, ações direcionadas à fiscalização do cumprimento, pelos </w:t>
            </w:r>
            <w:r w:rsidRPr="00A6310E">
              <w:rPr>
                <w:rFonts w:ascii="Arial" w:hAnsi="Arial" w:cs="Arial"/>
                <w:b/>
                <w:bCs/>
                <w:sz w:val="22"/>
                <w:szCs w:val="22"/>
              </w:rPr>
              <w:t>municípios brasileiros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das exigências estabelecidas pela </w:t>
            </w:r>
            <w:r>
              <w:rPr>
                <w:rFonts w:ascii="Arial" w:hAnsi="Arial" w:cs="Arial"/>
                <w:sz w:val="22"/>
                <w:szCs w:val="22"/>
              </w:rPr>
              <w:t xml:space="preserve">Lei Complementar nº 131/2009, em especial no que concerne à </w:t>
            </w:r>
            <w:r w:rsidRPr="00A6310E">
              <w:rPr>
                <w:rFonts w:ascii="Arial" w:hAnsi="Arial" w:cs="Arial"/>
                <w:b/>
                <w:sz w:val="22"/>
                <w:szCs w:val="22"/>
              </w:rPr>
              <w:t>criação dos respectivos portais de transparência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D6C1E" w14:paraId="13D62D3D" w14:textId="77777777" w:rsidTr="00F47530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343B5C" w14:textId="77777777" w:rsidR="00FD6C1E" w:rsidRPr="00F47530" w:rsidRDefault="00FD6C1E" w:rsidP="00FD6C1E">
            <w:pPr>
              <w:pStyle w:val="Ttulodetabela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Número de iniciativas institucionais direcionadas à exigência da criação dos portais de transparência pelos municípios;</w:t>
            </w:r>
          </w:p>
        </w:tc>
      </w:tr>
    </w:tbl>
    <w:p w14:paraId="1A923775" w14:textId="77777777" w:rsidR="00917A6A" w:rsidRDefault="00917A6A">
      <w:pPr>
        <w:snapToGrid w:val="0"/>
        <w:spacing w:line="315" w:lineRule="atLeast"/>
        <w:rPr>
          <w:rFonts w:ascii="Arial" w:hAnsi="Arial" w:cs="Arial"/>
        </w:rPr>
      </w:pPr>
    </w:p>
    <w:p w14:paraId="552C769C" w14:textId="718A7924" w:rsidR="00FD6C1E" w:rsidRPr="00266BC0" w:rsidRDefault="00FD6C1E" w:rsidP="00FD6C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Pontos de controle: 15</w:t>
      </w:r>
      <w:r w:rsidRPr="00266BC0">
        <w:rPr>
          <w:rFonts w:ascii="Arial" w:hAnsi="Arial" w:cs="Arial"/>
          <w:b/>
          <w:sz w:val="22"/>
          <w:szCs w:val="22"/>
        </w:rPr>
        <w:t>/06/2015 e 1</w:t>
      </w:r>
      <w:r>
        <w:rPr>
          <w:rFonts w:ascii="Arial" w:hAnsi="Arial" w:cs="Arial"/>
          <w:b/>
          <w:sz w:val="22"/>
          <w:szCs w:val="22"/>
        </w:rPr>
        <w:t>5</w:t>
      </w:r>
      <w:r w:rsidRPr="00266BC0">
        <w:rPr>
          <w:rFonts w:ascii="Arial" w:hAnsi="Arial" w:cs="Arial"/>
          <w:b/>
          <w:sz w:val="22"/>
          <w:szCs w:val="22"/>
        </w:rPr>
        <w:t>/12/2015</w:t>
      </w:r>
    </w:p>
    <w:p w14:paraId="7666431D" w14:textId="77777777" w:rsidR="00917A6A" w:rsidRDefault="00917A6A"/>
    <w:sectPr w:rsidR="00917A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0" w:right="601" w:bottom="713" w:left="408" w:header="21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1F360" w14:textId="77777777" w:rsidR="00663C3E" w:rsidRDefault="00663C3E">
      <w:r>
        <w:separator/>
      </w:r>
    </w:p>
  </w:endnote>
  <w:endnote w:type="continuationSeparator" w:id="0">
    <w:p w14:paraId="37323482" w14:textId="77777777" w:rsidR="00663C3E" w:rsidRDefault="0066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6B75" w14:textId="77777777" w:rsidR="0034798D" w:rsidRDefault="003479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2BBF" w14:textId="77777777" w:rsidR="0034798D" w:rsidRDefault="003479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9A81" w14:textId="77777777" w:rsidR="0034798D" w:rsidRDefault="003479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7D3E" w14:textId="77777777" w:rsidR="00663C3E" w:rsidRDefault="00663C3E">
      <w:r>
        <w:separator/>
      </w:r>
    </w:p>
  </w:footnote>
  <w:footnote w:type="continuationSeparator" w:id="0">
    <w:p w14:paraId="666BDC65" w14:textId="77777777" w:rsidR="00663C3E" w:rsidRDefault="0066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6C10" w14:textId="77777777" w:rsidR="0034798D" w:rsidRDefault="003479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144A" w14:textId="77777777" w:rsidR="0034798D" w:rsidRDefault="003479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30BC"/>
    <w:multiLevelType w:val="multilevel"/>
    <w:tmpl w:val="BEB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2"/>
    <w:rsid w:val="0007290E"/>
    <w:rsid w:val="0017457B"/>
    <w:rsid w:val="00227D9D"/>
    <w:rsid w:val="0027279B"/>
    <w:rsid w:val="002D63D3"/>
    <w:rsid w:val="0034798D"/>
    <w:rsid w:val="003542DD"/>
    <w:rsid w:val="003A499D"/>
    <w:rsid w:val="004D439F"/>
    <w:rsid w:val="005038B8"/>
    <w:rsid w:val="00561EBC"/>
    <w:rsid w:val="005F4EE8"/>
    <w:rsid w:val="00663C3E"/>
    <w:rsid w:val="006E5C2E"/>
    <w:rsid w:val="006F428D"/>
    <w:rsid w:val="008516A2"/>
    <w:rsid w:val="008D3189"/>
    <w:rsid w:val="008E2FD2"/>
    <w:rsid w:val="00917A6A"/>
    <w:rsid w:val="009C3BDC"/>
    <w:rsid w:val="009E1475"/>
    <w:rsid w:val="00A6310E"/>
    <w:rsid w:val="00B12A97"/>
    <w:rsid w:val="00BE4C97"/>
    <w:rsid w:val="00C362E3"/>
    <w:rsid w:val="00DE2475"/>
    <w:rsid w:val="00DE7EB8"/>
    <w:rsid w:val="00E0312B"/>
    <w:rsid w:val="00E361B7"/>
    <w:rsid w:val="00EC7108"/>
    <w:rsid w:val="00F47530"/>
    <w:rsid w:val="00F876C0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175D1"/>
  <w15:docId w15:val="{E9F04EE5-DE82-4C3F-95EB-7EDABCF8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Corpodetexto3Char">
    <w:name w:val="Corpo de texto 3 Char"/>
    <w:rPr>
      <w:rFonts w:eastAsia="Lucida Sans Unicode" w:cs="Mangal"/>
      <w:kern w:val="1"/>
      <w:sz w:val="16"/>
      <w:szCs w:val="14"/>
      <w:lang w:bidi="hi-IN"/>
    </w:rPr>
  </w:style>
  <w:style w:type="character" w:customStyle="1" w:styleId="CabealhoChar">
    <w:name w:val="Cabeçalho Char"/>
    <w:rPr>
      <w:rFonts w:eastAsia="Lucida Sans Unicode" w:cs="Mangal"/>
      <w:kern w:val="1"/>
      <w:sz w:val="24"/>
      <w:szCs w:val="21"/>
      <w:lang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bidi="hi-I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Ttulo4"/>
    <w:next w:val="Corpodetexto"/>
    <w:qFormat/>
    <w:pPr>
      <w:jc w:val="center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45A6CD3-E281-4A72-8A27-505BFCD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Carneiro Paes</dc:creator>
  <cp:keywords>CNMP</cp:keywords>
  <cp:lastModifiedBy>julianonapoleao</cp:lastModifiedBy>
  <cp:revision>2</cp:revision>
  <cp:lastPrinted>1901-01-01T03:06:00Z</cp:lastPrinted>
  <dcterms:created xsi:type="dcterms:W3CDTF">2014-11-26T16:05:00Z</dcterms:created>
  <dcterms:modified xsi:type="dcterms:W3CDTF">2014-11-26T16:05:00Z</dcterms:modified>
</cp:coreProperties>
</file>