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9072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6"/>
        <w:gridCol w:w="4535"/>
      </w:tblGrid>
      <w:tr>
        <w:trPr>
          <w:trHeight w:val="1839" w:hRule="atLeast"/>
        </w:trPr>
        <w:tc>
          <w:tcPr>
            <w:tcW w:w="4536" w:type="dxa"/>
            <w:tcBorders/>
          </w:tcPr>
          <w:p>
            <w:pPr>
              <w:pStyle w:val="Ttulo1"/>
              <w:widowControl w:val="false"/>
              <w:suppressAutoHyphens w:val="true"/>
              <w:spacing w:before="94" w:after="0"/>
              <w:ind w:left="0" w:right="34" w:hanging="0"/>
              <w:rPr>
                <w:rFonts w:ascii="Times New Roman" w:hAnsi="Times New Roman"/>
                <w:b w:val="false"/>
                <w:b w:val="false"/>
                <w:sz w:val="32"/>
                <w:szCs w:val="32"/>
              </w:rPr>
            </w:pPr>
            <w:r>
              <w:rPr/>
              <w:drawing>
                <wp:inline distT="0" distB="0" distL="0" distR="0">
                  <wp:extent cx="1818005" cy="1270000"/>
                  <wp:effectExtent l="0" t="0" r="0" b="0"/>
                  <wp:docPr id="1" name="Imagem 1" descr="https://tse1.mm.bing.net/th?id=OIP.QDNGUECxtxkssJMr71eu4gAAAA&amp;pid=Api&amp;P=0&amp;w=270&amp;h=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https://tse1.mm.bing.net/th?id=OIP.QDNGUECxtxkssJMr71eu4gAAAA&amp;pid=Api&amp;P=0&amp;w=270&amp;h=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tcBorders/>
          </w:tcPr>
          <w:p>
            <w:pPr>
              <w:pStyle w:val="Corpodotexto"/>
              <w:widowControl w:val="false"/>
              <w:suppressAutoHyphens w:val="true"/>
              <w:spacing w:before="7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Corpodotexto"/>
              <w:widowControl w:val="false"/>
              <w:suppressAutoHyphens w:val="true"/>
              <w:spacing w:before="7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  <w:lang w:val="pt-BR"/>
              </w:rPr>
              <w:t>COMISSÃO DE CONTROLE ADMINISTRATIVO E FINANCEIRO</w:t>
            </w:r>
          </w:p>
          <w:p>
            <w:pPr>
              <w:pStyle w:val="Corpodotexto"/>
              <w:widowControl w:val="false"/>
              <w:suppressAutoHyphens w:val="true"/>
              <w:spacing w:before="7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</w:tbl>
    <w:p>
      <w:pPr>
        <w:pStyle w:val="Corpodotexto"/>
        <w:spacing w:before="7" w:after="0"/>
        <w:jc w:val="center"/>
        <w:rPr>
          <w:rFonts w:ascii="Times New Roman" w:hAnsi="Times New Roman"/>
          <w:sz w:val="7"/>
        </w:rPr>
      </w:pPr>
      <w:r>
        <w:rPr>
          <w:rFonts w:ascii="Times New Roman" w:hAnsi="Times New Roman"/>
          <w:sz w:val="7"/>
        </w:rPr>
      </w:r>
    </w:p>
    <w:p>
      <w:pPr>
        <w:pStyle w:val="Corpodotexto"/>
        <w:spacing w:before="7" w:after="0"/>
        <w:jc w:val="center"/>
        <w:rPr>
          <w:rFonts w:ascii="Times New Roman" w:hAnsi="Times New Roman"/>
          <w:sz w:val="7"/>
        </w:rPr>
      </w:pPr>
      <w:r>
        <w:rPr>
          <w:rFonts w:ascii="Times New Roman" w:hAnsi="Times New Roman"/>
          <w:sz w:val="7"/>
        </w:rPr>
      </w:r>
    </w:p>
    <w:p>
      <w:pPr>
        <w:pStyle w:val="Corpodotexto"/>
        <w:spacing w:before="7" w:after="0"/>
        <w:jc w:val="center"/>
        <w:rPr>
          <w:rFonts w:ascii="Times New Roman" w:hAnsi="Times New Roman"/>
          <w:sz w:val="7"/>
        </w:rPr>
      </w:pPr>
      <w:r>
        <w:rPr>
          <w:rFonts w:ascii="Times New Roman" w:hAnsi="Times New Roman"/>
          <w:sz w:val="7"/>
        </w:rPr>
      </w:r>
    </w:p>
    <w:p>
      <w:pPr>
        <w:pStyle w:val="Corpodotexto"/>
        <w:spacing w:before="7" w:after="0"/>
        <w:jc w:val="center"/>
        <w:rPr>
          <w:rFonts w:ascii="Times New Roman" w:hAnsi="Times New Roman"/>
          <w:sz w:val="7"/>
        </w:rPr>
      </w:pPr>
      <w:r>
        <w:rPr>
          <w:rFonts w:ascii="Times New Roman" w:hAnsi="Times New Roman"/>
          <w:sz w:val="7"/>
        </w:rPr>
      </w:r>
    </w:p>
    <w:p>
      <w:pPr>
        <w:pStyle w:val="Normal"/>
        <w:jc w:val="center"/>
        <w:rPr>
          <w:rFonts w:eastAsia="Times New Roman"/>
          <w:bCs/>
          <w:iCs/>
          <w:sz w:val="32"/>
          <w:szCs w:val="32"/>
          <w:lang w:eastAsia="pt-BR"/>
        </w:rPr>
      </w:pPr>
      <w:r>
        <w:rPr>
          <w:rFonts w:eastAsia="Times New Roman"/>
          <w:bCs/>
          <w:iCs/>
          <w:sz w:val="32"/>
          <w:szCs w:val="32"/>
          <w:lang w:eastAsia="pt-BR"/>
        </w:rPr>
      </w:r>
    </w:p>
    <w:p>
      <w:pPr>
        <w:pStyle w:val="Normal"/>
        <w:jc w:val="center"/>
        <w:rPr>
          <w:rFonts w:eastAsia="Times New Roman"/>
          <w:bCs/>
          <w:iCs/>
          <w:sz w:val="32"/>
          <w:szCs w:val="32"/>
          <w:lang w:eastAsia="pt-BR"/>
        </w:rPr>
      </w:pPr>
      <w:r>
        <w:rPr>
          <w:rFonts w:eastAsia="Times New Roman"/>
          <w:bCs/>
          <w:iCs/>
          <w:sz w:val="32"/>
          <w:szCs w:val="32"/>
          <w:lang w:eastAsia="pt-BR"/>
        </w:rPr>
      </w:r>
    </w:p>
    <w:p>
      <w:pPr>
        <w:pStyle w:val="Normal"/>
        <w:jc w:val="center"/>
        <w:rPr>
          <w:rFonts w:eastAsia="Times New Roman"/>
          <w:bCs/>
          <w:iCs/>
          <w:sz w:val="32"/>
          <w:szCs w:val="32"/>
          <w:lang w:eastAsia="pt-BR"/>
        </w:rPr>
      </w:pPr>
      <w:r>
        <w:rPr>
          <w:rFonts w:eastAsia="Times New Roman"/>
          <w:bCs/>
          <w:iCs/>
          <w:sz w:val="32"/>
          <w:szCs w:val="32"/>
          <w:lang w:eastAsia="pt-BR"/>
        </w:rPr>
      </w:r>
    </w:p>
    <w:p>
      <w:pPr>
        <w:pStyle w:val="Normal"/>
        <w:jc w:val="center"/>
        <w:rPr>
          <w:rFonts w:eastAsia="Times New Roman"/>
          <w:bCs/>
          <w:iCs/>
          <w:sz w:val="32"/>
          <w:szCs w:val="32"/>
          <w:lang w:eastAsia="pt-BR"/>
        </w:rPr>
      </w:pPr>
      <w:r>
        <w:rPr>
          <w:rFonts w:eastAsia="Times New Roman"/>
          <w:bCs/>
          <w:iCs/>
          <w:sz w:val="32"/>
          <w:szCs w:val="32"/>
          <w:lang w:eastAsia="pt-BR"/>
        </w:rPr>
      </w:r>
    </w:p>
    <w:p>
      <w:pPr>
        <w:pStyle w:val="Normal"/>
        <w:jc w:val="center"/>
        <w:rPr>
          <w:rFonts w:eastAsia="Times New Roman"/>
          <w:b/>
          <w:b/>
          <w:iCs/>
          <w:sz w:val="32"/>
          <w:szCs w:val="32"/>
          <w:lang w:eastAsia="pt-BR"/>
        </w:rPr>
      </w:pPr>
      <w:r>
        <w:rPr>
          <w:rFonts w:eastAsia="Times New Roman"/>
          <w:b/>
          <w:iCs/>
          <w:sz w:val="32"/>
          <w:szCs w:val="32"/>
          <w:lang w:val="pt-BR" w:eastAsia="pt-BR"/>
        </w:rPr>
        <w:t xml:space="preserve">GRUPO DE TRABALHO </w:t>
      </w:r>
    </w:p>
    <w:p>
      <w:pPr>
        <w:pStyle w:val="Normal"/>
        <w:jc w:val="center"/>
        <w:rPr>
          <w:rFonts w:eastAsia="Times New Roman"/>
          <w:b/>
          <w:b/>
          <w:iCs/>
          <w:sz w:val="32"/>
          <w:szCs w:val="32"/>
          <w:lang w:eastAsia="pt-BR"/>
        </w:rPr>
      </w:pPr>
      <w:r>
        <w:rPr>
          <w:rFonts w:eastAsia="Times New Roman"/>
          <w:b/>
          <w:iCs/>
          <w:sz w:val="32"/>
          <w:szCs w:val="32"/>
          <w:lang w:eastAsia="pt-BR"/>
        </w:rPr>
      </w:r>
    </w:p>
    <w:p>
      <w:pPr>
        <w:pStyle w:val="Normal"/>
        <w:jc w:val="center"/>
        <w:rPr>
          <w:rFonts w:eastAsia="Times New Roman"/>
          <w:b/>
          <w:b/>
          <w:iCs/>
          <w:sz w:val="32"/>
          <w:szCs w:val="32"/>
          <w:lang w:val="pt-BR" w:eastAsia="pt-BR"/>
        </w:rPr>
      </w:pPr>
      <w:r>
        <w:rPr>
          <w:rFonts w:eastAsia="Times New Roman"/>
          <w:b/>
          <w:iCs/>
          <w:sz w:val="32"/>
          <w:szCs w:val="32"/>
          <w:lang w:val="pt-BR" w:eastAsia="pt-BR"/>
        </w:rPr>
        <w:t>FOMENTO AO APRIMORAMENTO DA GOVERNANÇA, CONTROLES INTERNOS E TRANSPARÊNCIA NOS MUNICÍPIOS</w:t>
      </w:r>
    </w:p>
    <w:p>
      <w:pPr>
        <w:pStyle w:val="Normal"/>
        <w:jc w:val="center"/>
        <w:rPr>
          <w:rFonts w:eastAsia="Times New Roman"/>
          <w:bCs/>
          <w:iCs/>
          <w:sz w:val="32"/>
          <w:szCs w:val="32"/>
          <w:lang w:eastAsia="pt-BR"/>
        </w:rPr>
      </w:pPr>
      <w:r>
        <w:rPr>
          <w:rFonts w:eastAsia="Times New Roman"/>
          <w:bCs/>
          <w:iCs/>
          <w:sz w:val="32"/>
          <w:szCs w:val="32"/>
          <w:lang w:eastAsia="pt-BR"/>
        </w:rPr>
      </w:r>
    </w:p>
    <w:p>
      <w:pPr>
        <w:pStyle w:val="Normal"/>
        <w:jc w:val="center"/>
        <w:rPr>
          <w:rFonts w:eastAsia="Times New Roman"/>
          <w:bCs/>
          <w:iCs/>
          <w:sz w:val="32"/>
          <w:szCs w:val="32"/>
          <w:lang w:eastAsia="pt-BR"/>
        </w:rPr>
      </w:pPr>
      <w:r>
        <w:rPr>
          <w:rFonts w:eastAsia="Times New Roman"/>
          <w:bCs/>
          <w:iCs/>
          <w:sz w:val="32"/>
          <w:szCs w:val="32"/>
          <w:lang w:eastAsia="pt-BR"/>
        </w:rPr>
      </w:r>
    </w:p>
    <w:p>
      <w:pPr>
        <w:pStyle w:val="Normal"/>
        <w:jc w:val="center"/>
        <w:rPr>
          <w:rFonts w:eastAsia="Times New Roman"/>
          <w:bCs/>
          <w:iCs/>
          <w:sz w:val="32"/>
          <w:szCs w:val="32"/>
          <w:lang w:eastAsia="pt-BR"/>
        </w:rPr>
      </w:pPr>
      <w:r>
        <w:rPr>
          <w:rFonts w:eastAsia="Times New Roman"/>
          <w:bCs/>
          <w:iCs/>
          <w:sz w:val="32"/>
          <w:szCs w:val="32"/>
          <w:lang w:eastAsia="pt-BR"/>
        </w:rPr>
      </w:r>
    </w:p>
    <w:p>
      <w:pPr>
        <w:pStyle w:val="Normal"/>
        <w:jc w:val="center"/>
        <w:rPr>
          <w:rFonts w:eastAsia="Times New Roman"/>
          <w:bCs/>
          <w:iCs/>
          <w:sz w:val="32"/>
          <w:szCs w:val="32"/>
          <w:lang w:eastAsia="pt-BR"/>
        </w:rPr>
      </w:pPr>
      <w:r>
        <w:rPr>
          <w:rFonts w:eastAsia="Times New Roman"/>
          <w:bCs/>
          <w:iCs/>
          <w:sz w:val="32"/>
          <w:szCs w:val="32"/>
          <w:lang w:eastAsia="pt-BR"/>
        </w:rPr>
      </w:r>
    </w:p>
    <w:p>
      <w:pPr>
        <w:pStyle w:val="Normal"/>
        <w:jc w:val="center"/>
        <w:rPr>
          <w:rFonts w:eastAsia="Times New Roman"/>
          <w:bCs/>
          <w:iCs/>
          <w:sz w:val="32"/>
          <w:szCs w:val="32"/>
          <w:lang w:eastAsia="pt-BR"/>
        </w:rPr>
      </w:pPr>
      <w:r>
        <w:rPr>
          <w:rFonts w:eastAsia="Times New Roman"/>
          <w:bCs/>
          <w:iCs/>
          <w:sz w:val="32"/>
          <w:szCs w:val="32"/>
          <w:lang w:eastAsia="pt-BR"/>
        </w:rPr>
      </w:r>
    </w:p>
    <w:p>
      <w:pPr>
        <w:pStyle w:val="Normal"/>
        <w:jc w:val="center"/>
        <w:rPr>
          <w:rFonts w:eastAsia="Times New Roman"/>
          <w:bCs/>
          <w:iCs/>
          <w:sz w:val="32"/>
          <w:szCs w:val="32"/>
          <w:lang w:eastAsia="pt-BR"/>
        </w:rPr>
      </w:pPr>
      <w:r>
        <w:rPr>
          <w:rFonts w:eastAsia="Times New Roman"/>
          <w:bCs/>
          <w:iCs/>
          <w:sz w:val="32"/>
          <w:szCs w:val="32"/>
          <w:lang w:eastAsia="pt-BR"/>
        </w:rPr>
      </w:r>
    </w:p>
    <w:p>
      <w:pPr>
        <w:pStyle w:val="Normal"/>
        <w:jc w:val="center"/>
        <w:rPr>
          <w:rFonts w:eastAsia="Times New Roman"/>
          <w:bCs/>
          <w:iCs/>
          <w:sz w:val="32"/>
          <w:szCs w:val="32"/>
          <w:lang w:eastAsia="pt-BR"/>
        </w:rPr>
      </w:pPr>
      <w:r>
        <w:rPr>
          <w:rFonts w:eastAsia="Times New Roman"/>
          <w:bCs/>
          <w:iCs/>
          <w:sz w:val="32"/>
          <w:szCs w:val="32"/>
          <w:lang w:eastAsia="pt-BR"/>
        </w:rPr>
      </w:r>
    </w:p>
    <w:p>
      <w:pPr>
        <w:pStyle w:val="Normal"/>
        <w:jc w:val="center"/>
        <w:rPr>
          <w:rFonts w:eastAsia="Times New Roman"/>
          <w:b/>
          <w:b/>
          <w:iCs/>
          <w:sz w:val="40"/>
          <w:szCs w:val="40"/>
          <w:lang w:eastAsia="pt-BR"/>
        </w:rPr>
      </w:pPr>
      <w:r>
        <w:rPr>
          <w:rFonts w:eastAsia="Times New Roman"/>
          <w:b/>
          <w:iCs/>
          <w:sz w:val="40"/>
          <w:szCs w:val="40"/>
          <w:lang w:val="pt-BR" w:eastAsia="pt-BR"/>
        </w:rPr>
        <w:t xml:space="preserve">QUESTIONÁRIO BÁSICO </w:t>
      </w:r>
    </w:p>
    <w:p>
      <w:pPr>
        <w:pStyle w:val="Normal"/>
        <w:jc w:val="center"/>
        <w:rPr>
          <w:rFonts w:eastAsia="Times New Roman"/>
          <w:b/>
          <w:b/>
          <w:iCs/>
          <w:sz w:val="40"/>
          <w:szCs w:val="40"/>
          <w:lang w:eastAsia="pt-BR"/>
        </w:rPr>
      </w:pPr>
      <w:r>
        <w:rPr>
          <w:rFonts w:eastAsia="Times New Roman"/>
          <w:b/>
          <w:iCs/>
          <w:sz w:val="40"/>
          <w:szCs w:val="40"/>
          <w:lang w:val="pt-BR" w:eastAsia="pt-BR"/>
        </w:rPr>
        <w:t>PROGRAMAS E PROJETOS SELECIONADOS</w:t>
      </w:r>
    </w:p>
    <w:p>
      <w:pPr>
        <w:pStyle w:val="Normal"/>
        <w:jc w:val="center"/>
        <w:rPr>
          <w:rFonts w:eastAsia="Times New Roman"/>
          <w:bCs/>
          <w:iCs/>
          <w:sz w:val="32"/>
          <w:szCs w:val="32"/>
          <w:lang w:eastAsia="pt-BR"/>
        </w:rPr>
      </w:pPr>
      <w:r>
        <w:rPr>
          <w:rFonts w:eastAsia="Times New Roman"/>
          <w:bCs/>
          <w:iCs/>
          <w:sz w:val="32"/>
          <w:szCs w:val="32"/>
          <w:lang w:eastAsia="pt-BR"/>
        </w:rPr>
      </w:r>
    </w:p>
    <w:p>
      <w:pPr>
        <w:pStyle w:val="Normal"/>
        <w:jc w:val="center"/>
        <w:rPr>
          <w:rFonts w:eastAsia="Times New Roman"/>
          <w:bCs/>
          <w:iCs/>
          <w:sz w:val="32"/>
          <w:szCs w:val="32"/>
          <w:lang w:eastAsia="pt-BR"/>
        </w:rPr>
      </w:pPr>
      <w:r>
        <w:rPr>
          <w:rFonts w:eastAsia="Times New Roman"/>
          <w:bCs/>
          <w:iCs/>
          <w:sz w:val="32"/>
          <w:szCs w:val="32"/>
          <w:lang w:eastAsia="pt-BR"/>
        </w:rPr>
      </w:r>
    </w:p>
    <w:p>
      <w:pPr>
        <w:pStyle w:val="Normal"/>
        <w:jc w:val="center"/>
        <w:rPr>
          <w:rFonts w:eastAsia="Times New Roman"/>
          <w:bCs/>
          <w:iCs/>
          <w:sz w:val="32"/>
          <w:szCs w:val="32"/>
          <w:lang w:eastAsia="pt-BR"/>
        </w:rPr>
      </w:pPr>
      <w:r>
        <w:rPr>
          <w:rFonts w:eastAsia="Times New Roman"/>
          <w:bCs/>
          <w:iCs/>
          <w:sz w:val="32"/>
          <w:szCs w:val="32"/>
          <w:lang w:eastAsia="pt-BR"/>
        </w:rPr>
      </w:r>
    </w:p>
    <w:p>
      <w:pPr>
        <w:pStyle w:val="Normal"/>
        <w:jc w:val="center"/>
        <w:rPr>
          <w:rFonts w:eastAsia="Times New Roman"/>
          <w:bCs/>
          <w:iCs/>
          <w:sz w:val="32"/>
          <w:szCs w:val="32"/>
          <w:lang w:eastAsia="pt-BR"/>
        </w:rPr>
      </w:pPr>
      <w:r>
        <w:rPr>
          <w:rFonts w:eastAsia="Times New Roman"/>
          <w:bCs/>
          <w:iCs/>
          <w:sz w:val="32"/>
          <w:szCs w:val="32"/>
          <w:lang w:eastAsia="pt-BR"/>
        </w:rPr>
      </w:r>
    </w:p>
    <w:p>
      <w:pPr>
        <w:pStyle w:val="Normal"/>
        <w:jc w:val="center"/>
        <w:rPr>
          <w:rFonts w:eastAsia="Times New Roman"/>
          <w:bCs/>
          <w:iCs/>
          <w:sz w:val="32"/>
          <w:szCs w:val="32"/>
          <w:lang w:eastAsia="pt-BR"/>
        </w:rPr>
      </w:pPr>
      <w:r>
        <w:rPr>
          <w:rFonts w:eastAsia="Times New Roman"/>
          <w:bCs/>
          <w:iCs/>
          <w:sz w:val="32"/>
          <w:szCs w:val="32"/>
          <w:lang w:eastAsia="pt-BR"/>
        </w:rPr>
      </w:r>
    </w:p>
    <w:p>
      <w:pPr>
        <w:pStyle w:val="Normal"/>
        <w:jc w:val="center"/>
        <w:rPr>
          <w:rFonts w:eastAsia="Times New Roman"/>
          <w:bCs/>
          <w:iCs/>
          <w:sz w:val="32"/>
          <w:szCs w:val="32"/>
          <w:lang w:eastAsia="pt-BR"/>
        </w:rPr>
      </w:pPr>
      <w:r>
        <w:rPr>
          <w:rFonts w:eastAsia="Times New Roman"/>
          <w:bCs/>
          <w:iCs/>
          <w:sz w:val="32"/>
          <w:szCs w:val="32"/>
          <w:lang w:eastAsia="pt-BR"/>
        </w:rPr>
      </w:r>
    </w:p>
    <w:p>
      <w:pPr>
        <w:pStyle w:val="Normal"/>
        <w:jc w:val="center"/>
        <w:rPr>
          <w:rFonts w:eastAsia="Times New Roman"/>
          <w:bCs/>
          <w:iCs/>
          <w:sz w:val="32"/>
          <w:szCs w:val="32"/>
          <w:lang w:eastAsia="pt-BR"/>
        </w:rPr>
      </w:pPr>
      <w:r>
        <w:rPr>
          <w:rFonts w:eastAsia="Times New Roman"/>
          <w:bCs/>
          <w:iCs/>
          <w:sz w:val="32"/>
          <w:szCs w:val="32"/>
          <w:lang w:eastAsia="pt-BR"/>
        </w:rPr>
      </w:r>
    </w:p>
    <w:p>
      <w:pPr>
        <w:pStyle w:val="Normal"/>
        <w:jc w:val="center"/>
        <w:rPr>
          <w:rFonts w:eastAsia="Times New Roman"/>
          <w:bCs/>
          <w:iCs/>
          <w:sz w:val="32"/>
          <w:szCs w:val="32"/>
          <w:lang w:eastAsia="pt-BR"/>
        </w:rPr>
      </w:pPr>
      <w:r>
        <w:rPr>
          <w:rFonts w:eastAsia="Times New Roman"/>
          <w:bCs/>
          <w:iCs/>
          <w:sz w:val="32"/>
          <w:szCs w:val="32"/>
          <w:lang w:eastAsia="pt-BR"/>
        </w:rPr>
      </w:r>
    </w:p>
    <w:p>
      <w:pPr>
        <w:pStyle w:val="Normal"/>
        <w:jc w:val="center"/>
        <w:rPr>
          <w:rFonts w:eastAsia="Times New Roman"/>
          <w:bCs/>
          <w:iCs/>
          <w:sz w:val="32"/>
          <w:szCs w:val="32"/>
          <w:lang w:eastAsia="pt-BR"/>
        </w:rPr>
      </w:pPr>
      <w:r>
        <w:rPr>
          <w:rFonts w:eastAsia="Times New Roman"/>
          <w:bCs/>
          <w:iCs/>
          <w:sz w:val="32"/>
          <w:szCs w:val="32"/>
          <w:lang w:eastAsia="pt-BR"/>
        </w:rPr>
      </w:r>
    </w:p>
    <w:p>
      <w:pPr>
        <w:pStyle w:val="Normal"/>
        <w:jc w:val="center"/>
        <w:rPr>
          <w:rFonts w:eastAsia="Times New Roman"/>
          <w:b/>
          <w:b/>
          <w:iCs/>
          <w:sz w:val="32"/>
          <w:szCs w:val="32"/>
          <w:lang w:eastAsia="pt-BR"/>
        </w:rPr>
      </w:pPr>
      <w:r>
        <w:rPr>
          <w:rFonts w:eastAsia="Times New Roman"/>
          <w:b/>
          <w:iCs/>
          <w:sz w:val="32"/>
          <w:szCs w:val="32"/>
          <w:lang w:val="pt-BR" w:eastAsia="pt-BR"/>
        </w:rPr>
        <w:t>CNMP</w:t>
      </w:r>
    </w:p>
    <w:p>
      <w:pPr>
        <w:pStyle w:val="Normal"/>
        <w:jc w:val="center"/>
        <w:rPr>
          <w:rFonts w:eastAsia="Times New Roman"/>
          <w:b/>
          <w:b/>
          <w:iCs/>
          <w:sz w:val="32"/>
          <w:szCs w:val="32"/>
          <w:lang w:eastAsia="pt-BR"/>
        </w:rPr>
      </w:pPr>
      <w:r>
        <w:rPr>
          <w:rFonts w:eastAsia="Times New Roman"/>
          <w:b/>
          <w:iCs/>
          <w:sz w:val="32"/>
          <w:szCs w:val="32"/>
          <w:lang w:val="pt-BR" w:eastAsia="pt-BR"/>
        </w:rPr>
        <w:t>JULHO 2021</w:t>
      </w:r>
    </w:p>
    <w:p>
      <w:pPr>
        <w:pStyle w:val="Corpodotexto"/>
        <w:spacing w:before="11" w:after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  <w:lang w:val="pt-BR"/>
        </w:rPr>
        <w:t>I   IDENTIFICAÇÃO</w:t>
      </w:r>
    </w:p>
    <w:p>
      <w:pPr>
        <w:pStyle w:val="Corpodotexto"/>
        <w:spacing w:before="11" w:after="0"/>
        <w:rPr>
          <w:sz w:val="19"/>
        </w:rPr>
      </w:pPr>
      <w:r>
        <w:rPr>
          <w:sz w:val="19"/>
        </w:rPr>
      </w:r>
    </w:p>
    <w:p>
      <w:pPr>
        <w:pStyle w:val="Corpodotexto"/>
        <w:spacing w:before="11" w:after="0"/>
        <w:rPr>
          <w:sz w:val="19"/>
        </w:rPr>
      </w:pPr>
      <w:r>
        <w:rPr>
          <w:sz w:val="19"/>
        </w:rPr>
      </w:r>
    </w:p>
    <w:p>
      <w:pPr>
        <w:pStyle w:val="Corpodotexto"/>
        <w:spacing w:before="11" w:after="0"/>
        <w:jc w:val="both"/>
        <w:rPr>
          <w:sz w:val="19"/>
        </w:rPr>
      </w:pPr>
      <w:r>
        <w:rPr>
          <w:sz w:val="19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1. NOME DO PROGRAMA / PROJETO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pt-BR"/>
        </w:rPr>
        <w:t>Projeto Transparência nos Municípios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2. OBJETIVOS GERAIS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Incentivar a transparência da A</w:t>
      </w:r>
      <w:r>
        <w:rPr>
          <w:rFonts w:eastAsia="Arial" w:cs="Arial"/>
          <w:color w:val="auto"/>
          <w:kern w:val="0"/>
          <w:sz w:val="28"/>
          <w:szCs w:val="28"/>
          <w:lang w:val="pt-BR" w:eastAsia="pt-PT" w:bidi="pt-PT"/>
        </w:rPr>
        <w:t>dministração</w:t>
      </w:r>
      <w:r>
        <w:rPr>
          <w:sz w:val="28"/>
          <w:szCs w:val="28"/>
          <w:lang w:val="pt-BR"/>
        </w:rPr>
        <w:t xml:space="preserve"> Pública paranaense, por meio </w:t>
      </w:r>
      <w:r>
        <w:rPr>
          <w:rFonts w:eastAsia="Arial" w:cs="Arial"/>
          <w:color w:val="auto"/>
          <w:kern w:val="0"/>
          <w:sz w:val="28"/>
          <w:szCs w:val="28"/>
          <w:lang w:val="pt-BR" w:eastAsia="pt-PT" w:bidi="pt-PT"/>
        </w:rPr>
        <w:t>d</w:t>
      </w:r>
      <w:r>
        <w:rPr>
          <w:sz w:val="28"/>
          <w:szCs w:val="28"/>
          <w:lang w:val="pt-BR"/>
        </w:rPr>
        <w:t>a implantação e aperfeiçoamento dos Portais de Transparência.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3. OBJETIVOS ESPECÍFICOS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 xml:space="preserve">Assegurar que </w:t>
      </w:r>
      <w:r>
        <w:rPr>
          <w:rFonts w:eastAsia="Arial" w:cs="Arial"/>
          <w:color w:val="auto"/>
          <w:kern w:val="0"/>
          <w:sz w:val="28"/>
          <w:szCs w:val="28"/>
          <w:lang w:val="pt-BR" w:eastAsia="pt-PT" w:bidi="pt-PT"/>
        </w:rPr>
        <w:t xml:space="preserve">todos os </w:t>
      </w:r>
      <w:r>
        <w:rPr>
          <w:sz w:val="28"/>
          <w:szCs w:val="28"/>
          <w:lang w:val="pt-BR"/>
        </w:rPr>
        <w:t>Municípios e Câmaras Municipais do Estado do Paraná tenham seus Portais de Transparência implementados.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rFonts w:eastAsia="Arial" w:cs="Arial"/>
          <w:color w:val="auto"/>
          <w:kern w:val="0"/>
          <w:sz w:val="28"/>
          <w:szCs w:val="28"/>
          <w:lang w:val="pt-BR" w:eastAsia="pt-PT" w:bidi="pt-PT"/>
        </w:rPr>
        <w:t xml:space="preserve">Definir </w:t>
      </w:r>
      <w:r>
        <w:rPr>
          <w:sz w:val="28"/>
          <w:szCs w:val="28"/>
          <w:lang w:val="pt-BR"/>
        </w:rPr>
        <w:t>requisitos mínimos a serem exigidos na verificação dos Portais de Transparência.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Ampliar, gradativamente, a implantação e o aperfeiçoamento dos Portais de Transparência a todos os órgãos da Administração Pública Direta, Indireta e do Terceiro Setor do Estado do Paraná.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Estimular o exercício do controle social.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4. ÓRGÃO RESPONSÁVEL NO MP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 xml:space="preserve">Centro de Apoio Operacional das Promotorias de Justiça de Proteção ao Patrimônio Público e à Ordem Tributária (CAOPPPOT). 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5. ÓRGÃOS / ENTIDADES PARCEIRAS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 xml:space="preserve">Associação dos Municípios do Paraná (AMP); Companhia de Tecnologia da Informação e Comunicação do Paraná (Celepar); Itaipu Binacional; Parque Tecnológico Itaipu (PTI); </w:t>
      </w:r>
      <w:r>
        <w:rPr>
          <w:sz w:val="28"/>
          <w:szCs w:val="28"/>
          <w:lang w:val="pt-BR"/>
        </w:rPr>
        <w:t xml:space="preserve">Observatório Social do Brasil (OBS); </w:t>
      </w:r>
      <w:r>
        <w:rPr>
          <w:sz w:val="28"/>
          <w:szCs w:val="28"/>
          <w:lang w:val="pt-BR"/>
        </w:rPr>
        <w:t>Rede de Controle da Gestão Pública do Paraná; Universidade Positivo; e União de Câmaras, Vereadores e Gestores Públicos do Paraná (Uvepar).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 xml:space="preserve">6. ÁREA DE ATUAÇÃO 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(X) TRANSPARÊNCIA</w:t>
        <w:tab/>
        <w:tab/>
        <w:tab/>
        <w:tab/>
        <w:t xml:space="preserve">(  ) CONTROLE INTERNO          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 xml:space="preserve">(  ) GOVERNANÇA            </w:t>
        <w:tab/>
        <w:tab/>
        <w:tab/>
        <w:t>(  ) OUVIDORIA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(  ) OUTROS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7. LOGOMARCA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2124075" cy="2124075"/>
            <wp:effectExtent l="0" t="0" r="0" b="0"/>
            <wp:docPr id="2" name="Image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8. SÍTIO ELETRÔNICO / ENDEREÇO ELETRÔNICO / CONTATO DO ÓRGÃO E DO GERENTE RESPONSÁVEL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 xml:space="preserve">Sítio eletrônico: </w:t>
      </w:r>
      <w:hyperlink r:id="rId4">
        <w:r>
          <w:rPr>
            <w:rStyle w:val="LinkdaInternet"/>
            <w:sz w:val="28"/>
            <w:szCs w:val="28"/>
            <w:lang w:val="pt-BR"/>
          </w:rPr>
          <w:t>http://click.mppr.mp.br/projeto-transparencia</w:t>
        </w:r>
      </w:hyperlink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 xml:space="preserve">Contato do órgão: </w:t>
      </w:r>
      <w:hyperlink r:id="rId5">
        <w:r>
          <w:rPr>
            <w:rStyle w:val="LinkdaInternet"/>
            <w:sz w:val="28"/>
            <w:szCs w:val="28"/>
            <w:lang w:val="pt-BR"/>
          </w:rPr>
          <w:t>caoppatrimonio@mppr.mp.br</w:t>
        </w:r>
      </w:hyperlink>
      <w:r>
        <w:rPr>
          <w:sz w:val="28"/>
          <w:szCs w:val="28"/>
          <w:lang w:val="pt-BR"/>
        </w:rPr>
        <w:t xml:space="preserve"> (41) 3250-8710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 xml:space="preserve">Gerente responsável: Leonardo Dumke Busatto </w:t>
      </w:r>
      <w:hyperlink r:id="rId6">
        <w:r>
          <w:rPr>
            <w:rStyle w:val="LinkdaInternet"/>
            <w:sz w:val="28"/>
            <w:szCs w:val="28"/>
            <w:lang w:val="pt-BR"/>
          </w:rPr>
          <w:t>ldbusatto@mppr.mp.br</w:t>
        </w:r>
      </w:hyperlink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  <w:lang w:val="pt-BR"/>
        </w:rPr>
        <w:t>II ORIGENS</w:t>
      </w:r>
    </w:p>
    <w:p>
      <w:pPr>
        <w:pStyle w:val="Corpodotexto"/>
        <w:spacing w:before="11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9.  DATA DE CRIAÇÃO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19 de outubro de 20</w:t>
      </w:r>
      <w:r>
        <w:rPr>
          <w:sz w:val="28"/>
          <w:szCs w:val="28"/>
          <w:lang w:val="pt-BR"/>
        </w:rPr>
        <w:t>12</w:t>
      </w:r>
      <w:r>
        <w:rPr>
          <w:sz w:val="28"/>
          <w:szCs w:val="28"/>
          <w:lang w:val="pt-BR"/>
        </w:rPr>
        <w:t>.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10. PROCURADOR-GERAL RESPONSÁVEL PELA CRIAÇÃO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rFonts w:ascii="Arial" w:hAnsi="Arial" w:eastAsia="Arial" w:cs="Arial"/>
          <w:color w:val="auto"/>
          <w:kern w:val="0"/>
          <w:sz w:val="28"/>
          <w:szCs w:val="28"/>
          <w:lang w:val="pt-BR" w:eastAsia="pt-PT" w:bidi="pt-PT"/>
        </w:rPr>
      </w:pPr>
      <w:r>
        <w:rPr>
          <w:rFonts w:eastAsia="Arial" w:cs="Arial"/>
          <w:color w:val="auto"/>
          <w:kern w:val="0"/>
          <w:sz w:val="28"/>
          <w:szCs w:val="28"/>
          <w:lang w:val="pt-BR" w:eastAsia="pt-PT" w:bidi="pt-PT"/>
        </w:rPr>
        <w:t>Gilberto Giacoia.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11. COORDENADOR / GERENTE RESPONSÁVEL PELA CRIAÇÃO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Maria Cecília Delisi Rosa Pereira.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12. ÓRGÃOS INTERNOS ENVOLVIDOS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Centro de Apoio Operacional das Promotorias de Justiça de Proteção ao Patrimônio Público e à Ordem Tributária (CAOPPPOT); Subprocuradoria-Geral de Justiça para Assuntos de Planejamento Institucional (Subplan); Corregedoria-Geral; Centro de Apoio à Execução (CAEx); Grupos Especializados na Proteção ao Patrimônio Público e no Combate à Improbidade Administrativa (Gepatrias); e Promotorias de Justiça de Proteção ao Patrimônio Público.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13. ÓRGÃOS EXTERNOS ENVOLVIDOS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Poderes Executivo e Legislativo dos Municípios paranaenses; Companhia de Tecnologia da Informação e Comunicação do Paraná (Celepar); Controladoria-Geral do Estado do Paraná (CGE-PR); Itaipu Binacional; Parque Tecnológico Itaipu (PTI); Observatório Social do Brasil (OSB); e Rede de Controle da Gestão Pública do Paraná.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14. VINCULAÇÃO AO PLANEJAMENTO ESTRATÉGICO / PLANO DE ATUAÇÃO INSTITUCIONAL (detalhar)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rFonts w:eastAsia="Arial" w:cs="Arial"/>
          <w:color w:val="auto"/>
          <w:kern w:val="0"/>
          <w:sz w:val="28"/>
          <w:szCs w:val="28"/>
          <w:lang w:val="pt-BR" w:eastAsia="pt-PT" w:bidi="pt-PT"/>
        </w:rPr>
        <w:t>Quando criada</w:t>
      </w:r>
      <w:r>
        <w:rPr>
          <w:rFonts w:eastAsia="Arial" w:cs="Arial"/>
          <w:sz w:val="28"/>
          <w:szCs w:val="28"/>
          <w:lang w:val="pt-BR" w:eastAsia="pt-PT" w:bidi="pt-PT"/>
        </w:rPr>
        <w:t xml:space="preserve">, a iniciativa estava relacionada ao </w:t>
      </w:r>
      <w:hyperlink r:id="rId7">
        <w:r>
          <w:rPr>
            <w:rStyle w:val="LinkdaInternet"/>
            <w:rFonts w:eastAsia="Arial" w:cs="Arial"/>
            <w:sz w:val="28"/>
            <w:szCs w:val="28"/>
            <w:lang w:val="pt-BR" w:eastAsia="pt-PT" w:bidi="pt-PT"/>
          </w:rPr>
          <w:t>Ciclo 2010-2018</w:t>
        </w:r>
        <w:r>
          <w:rPr>
            <w:rStyle w:val="LinkdaInternet"/>
            <w:rFonts w:eastAsia="Arial" w:cs="Arial"/>
            <w:color w:val="auto"/>
            <w:sz w:val="28"/>
            <w:szCs w:val="28"/>
            <w:u w:val="none"/>
            <w:lang w:val="pt-BR" w:eastAsia="pt-PT" w:bidi="pt-PT"/>
          </w:rPr>
          <w:t xml:space="preserve"> </w:t>
        </w:r>
        <w:r>
          <w:rPr>
            <w:rStyle w:val="LinkdaInternet"/>
            <w:rFonts w:eastAsia="Arial" w:cs="Arial"/>
            <w:color w:val="auto"/>
            <w:kern w:val="0"/>
            <w:sz w:val="28"/>
            <w:szCs w:val="28"/>
            <w:u w:val="none"/>
            <w:lang w:val="pt-BR" w:eastAsia="pt-PT" w:bidi="pt-PT"/>
          </w:rPr>
          <w:t>d</w:t>
        </w:r>
      </w:hyperlink>
      <w:r>
        <w:rPr>
          <w:rFonts w:eastAsia="Arial" w:cs="Arial"/>
          <w:color w:val="auto"/>
          <w:sz w:val="28"/>
          <w:szCs w:val="28"/>
          <w:u w:val="none"/>
          <w:lang w:val="pt-BR" w:eastAsia="pt-PT" w:bidi="pt-PT"/>
        </w:rPr>
        <w:t>o</w:t>
      </w:r>
      <w:r>
        <w:rPr>
          <w:sz w:val="28"/>
          <w:szCs w:val="28"/>
          <w:lang w:val="pt-BR"/>
        </w:rPr>
        <w:t xml:space="preserve"> Planejamento Estratégico do Ministério Público do Paraná, com os seguintes vínculos: defender o patrimônio público; intensificar a interação com a sociedade; aprimorar relações com os poderes constituídos, instituições e organizações sociais.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 xml:space="preserve">Atualmente, o projeto se insere no </w:t>
      </w:r>
      <w:hyperlink r:id="rId8">
        <w:r>
          <w:rPr>
            <w:rStyle w:val="LinkdaInternet"/>
            <w:sz w:val="28"/>
            <w:szCs w:val="28"/>
            <w:lang w:val="pt-BR"/>
          </w:rPr>
          <w:t>Ciclo 2019-2029</w:t>
        </w:r>
      </w:hyperlink>
      <w:r>
        <w:rPr>
          <w:sz w:val="28"/>
          <w:szCs w:val="28"/>
          <w:lang w:val="pt-BR"/>
        </w:rPr>
        <w:t>, com os seguintes vínculos: zelar pela probidade na administração do patrimônio público e social; incentivo à expansão da transparência e do controle social; aprimoramento da integração entre órgãos estatais com atribuições na fiscalização do patrimônio público, inclusive para o compartilhamento de dados e informações.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15. DURAÇÃO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rFonts w:ascii="Arial" w:hAnsi="Arial" w:eastAsia="Arial" w:cs="Arial"/>
          <w:color w:val="auto"/>
          <w:kern w:val="0"/>
          <w:sz w:val="28"/>
          <w:szCs w:val="28"/>
          <w:lang w:val="pt-BR" w:eastAsia="pt-PT" w:bidi="pt-PT"/>
        </w:rPr>
      </w:pPr>
      <w:r>
        <w:rPr>
          <w:rFonts w:eastAsia="Arial" w:cs="Arial"/>
          <w:color w:val="auto"/>
          <w:kern w:val="0"/>
          <w:sz w:val="28"/>
          <w:szCs w:val="28"/>
          <w:lang w:val="pt-BR" w:eastAsia="pt-PT" w:bidi="pt-PT"/>
        </w:rPr>
        <w:t>O projeto prossegue em execução desde sua implementação em 2012.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16. PÚBLICO-ALVO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 xml:space="preserve">Agentes públicos dos Poderes Executivo e Legislativo dos 399 Municípios paranaenses, </w:t>
      </w:r>
      <w:r>
        <w:rPr>
          <w:sz w:val="28"/>
          <w:szCs w:val="28"/>
          <w:lang w:val="pt-BR"/>
        </w:rPr>
        <w:t xml:space="preserve">do </w:t>
      </w:r>
      <w:r>
        <w:rPr>
          <w:sz w:val="28"/>
          <w:szCs w:val="28"/>
          <w:lang w:val="pt-BR"/>
        </w:rPr>
        <w:t xml:space="preserve">Estado do Paraná, </w:t>
      </w:r>
      <w:r>
        <w:rPr>
          <w:sz w:val="28"/>
          <w:szCs w:val="28"/>
          <w:lang w:val="pt-BR"/>
        </w:rPr>
        <w:t xml:space="preserve">da </w:t>
      </w:r>
      <w:r>
        <w:rPr>
          <w:sz w:val="28"/>
          <w:szCs w:val="28"/>
          <w:lang w:val="pt-BR"/>
        </w:rPr>
        <w:t xml:space="preserve">Administração Pública Indireta, </w:t>
      </w:r>
      <w:r>
        <w:rPr>
          <w:sz w:val="28"/>
          <w:szCs w:val="28"/>
          <w:lang w:val="pt-BR"/>
        </w:rPr>
        <w:t xml:space="preserve">do </w:t>
      </w:r>
      <w:r>
        <w:rPr>
          <w:sz w:val="28"/>
          <w:szCs w:val="28"/>
          <w:lang w:val="pt-BR"/>
        </w:rPr>
        <w:t xml:space="preserve">Terceiro Setor e </w:t>
      </w:r>
      <w:r>
        <w:rPr>
          <w:sz w:val="28"/>
          <w:szCs w:val="28"/>
          <w:lang w:val="pt-BR"/>
        </w:rPr>
        <w:t xml:space="preserve">da </w:t>
      </w:r>
      <w:r>
        <w:rPr>
          <w:sz w:val="28"/>
          <w:szCs w:val="28"/>
          <w:lang w:val="pt-BR"/>
        </w:rPr>
        <w:t>sociedade em geral.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17. EMENTA DO PROJETO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Iniciativa desenvolvida pelo Ministério Público do Paraná para incentivar a transparência da A</w:t>
      </w:r>
      <w:r>
        <w:rPr>
          <w:rFonts w:eastAsia="Arial" w:cs="Arial"/>
          <w:color w:val="auto"/>
          <w:kern w:val="0"/>
          <w:sz w:val="28"/>
          <w:szCs w:val="28"/>
          <w:lang w:val="pt-BR" w:eastAsia="pt-PT" w:bidi="pt-PT"/>
        </w:rPr>
        <w:t>dministração Pública</w:t>
      </w:r>
      <w:r>
        <w:rPr>
          <w:sz w:val="28"/>
          <w:szCs w:val="28"/>
          <w:lang w:val="pt-BR"/>
        </w:rPr>
        <w:t xml:space="preserve">, por meio da implantação e  aperfeiçoamento dos Portais de Transparência. Após assegurar que </w:t>
      </w:r>
      <w:r>
        <w:rPr>
          <w:rFonts w:eastAsia="Arial" w:cs="Arial"/>
          <w:color w:val="auto"/>
          <w:kern w:val="0"/>
          <w:sz w:val="28"/>
          <w:szCs w:val="28"/>
          <w:lang w:val="pt-BR" w:eastAsia="pt-PT" w:bidi="pt-PT"/>
        </w:rPr>
        <w:t xml:space="preserve">todos os </w:t>
      </w:r>
      <w:r>
        <w:rPr>
          <w:sz w:val="28"/>
          <w:szCs w:val="28"/>
          <w:lang w:val="pt-BR"/>
        </w:rPr>
        <w:t xml:space="preserve">Municípios e Câmaras Municipais do Estado tivessem seus Portais de Transparência em funcionamento e observassem requisitos </w:t>
      </w:r>
      <w:r>
        <w:rPr>
          <w:rFonts w:eastAsia="Arial" w:cs="Arial"/>
          <w:color w:val="auto"/>
          <w:kern w:val="0"/>
          <w:sz w:val="28"/>
          <w:szCs w:val="28"/>
          <w:lang w:val="pt-BR" w:eastAsia="pt-PT" w:bidi="pt-PT"/>
        </w:rPr>
        <w:t xml:space="preserve">mínimos </w:t>
      </w:r>
      <w:r>
        <w:rPr>
          <w:sz w:val="28"/>
          <w:szCs w:val="28"/>
          <w:lang w:val="pt-BR"/>
        </w:rPr>
        <w:t xml:space="preserve">na disponibilização das informações, o projeto </w:t>
      </w:r>
      <w:r>
        <w:rPr>
          <w:rFonts w:eastAsia="Arial" w:cs="Arial"/>
          <w:color w:val="auto"/>
          <w:kern w:val="0"/>
          <w:sz w:val="28"/>
          <w:szCs w:val="28"/>
          <w:lang w:val="pt-BR" w:eastAsia="pt-PT" w:bidi="pt-PT"/>
        </w:rPr>
        <w:t xml:space="preserve">passou a expandir suas ações para alcançar </w:t>
      </w:r>
      <w:r>
        <w:rPr>
          <w:sz w:val="28"/>
          <w:szCs w:val="28"/>
          <w:lang w:val="pt-BR"/>
        </w:rPr>
        <w:t xml:space="preserve">órgãos da Administração Pública Direta, Indireta e do Terceiro Setor do Estado. As ações do projeto também estimulam o exercício do controle social e </w:t>
      </w:r>
      <w:r>
        <w:rPr>
          <w:rFonts w:eastAsia="Arial" w:cs="Arial"/>
          <w:color w:val="auto"/>
          <w:kern w:val="0"/>
          <w:sz w:val="28"/>
          <w:szCs w:val="28"/>
          <w:lang w:val="pt-BR" w:eastAsia="pt-PT" w:bidi="pt-PT"/>
        </w:rPr>
        <w:t>priorizam a adoção de soluções negociadas em âmbito extrajudicial.</w:t>
      </w:r>
    </w:p>
    <w:p>
      <w:pPr>
        <w:pStyle w:val="Corpodotexto"/>
        <w:spacing w:before="11" w:after="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</w:r>
    </w:p>
    <w:p>
      <w:pPr>
        <w:pStyle w:val="Corpodotexto"/>
        <w:spacing w:before="11" w:after="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18. JUSTIFICATIVA DO PROJETO</w:t>
      </w:r>
    </w:p>
    <w:p>
      <w:pPr>
        <w:pStyle w:val="Corpodotexto"/>
        <w:spacing w:before="11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A transparência é um dever constitucional imposto aos gestores públicos, o qual garante a ampla publicidade e fiscalização de seus atos pelos órgãos de controle e pela população, e assegura, assim, maior prevenção à prática de atos de corrupção.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No Estado do Paraná, ao início do projeto, constatou-se que muitos entes municipais sequer dispunham de Portal de Transparência e a maioria deles não cumpria todos os requisitos exigidos pela Lei de Acesso à Informação em suas publicações.</w:t>
      </w:r>
    </w:p>
    <w:p>
      <w:pPr>
        <w:pStyle w:val="Corpodotexto"/>
        <w:spacing w:before="11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  <w:lang w:val="pt-BR"/>
        </w:rPr>
        <w:t>III ATIVIDADES E METODOLOGIA</w:t>
      </w:r>
    </w:p>
    <w:p>
      <w:pPr>
        <w:pStyle w:val="Corpodotexto"/>
        <w:spacing w:before="11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19. PLANO DE TRABALHO DO PROJETO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Reporta-se ao plano de gerenciamento do projeto, que segue anexo.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20. ETAPAS / FASES DO PROGRAMA / PROJETO (descrever)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Reporta-se ao plano de gerenciamento do projeto, que segue anexo (Item 4 – Marcos e entregas do projeto).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21. FATORES INTERNOS</w:t>
      </w:r>
    </w:p>
    <w:p>
      <w:pPr>
        <w:pStyle w:val="Corpodotexto"/>
        <w:spacing w:before="11" w:after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(Atributos da Unidade Ministerial com repercussão sobre a iniciativa)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ab/>
        <w:t>21.1 Pontos Fortes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numPr>
          <w:ilvl w:val="0"/>
          <w:numId w:val="1"/>
        </w:numPr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 xml:space="preserve">Interlocução e integração entre diferentes órgãos da instituição; </w:t>
      </w:r>
    </w:p>
    <w:p>
      <w:pPr>
        <w:pStyle w:val="Corpodotexto"/>
        <w:numPr>
          <w:ilvl w:val="0"/>
          <w:numId w:val="1"/>
        </w:numPr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Disponibilização de auditores para verificação dos Portais;</w:t>
      </w:r>
    </w:p>
    <w:p>
      <w:pPr>
        <w:pStyle w:val="Corpodotexto"/>
        <w:numPr>
          <w:ilvl w:val="0"/>
          <w:numId w:val="1"/>
        </w:numPr>
        <w:spacing w:before="11" w:after="0"/>
        <w:jc w:val="both"/>
        <w:rPr>
          <w:sz w:val="28"/>
          <w:szCs w:val="28"/>
        </w:rPr>
      </w:pPr>
      <w:r>
        <w:rPr>
          <w:rFonts w:eastAsia="Arial" w:cs="Arial"/>
          <w:color w:val="auto"/>
          <w:kern w:val="0"/>
          <w:sz w:val="28"/>
          <w:szCs w:val="28"/>
          <w:lang w:val="pt-BR" w:eastAsia="pt-PT" w:bidi="pt-PT"/>
        </w:rPr>
        <w:t>Cultura institucional de incentivo à</w:t>
      </w:r>
      <w:r>
        <w:rPr>
          <w:sz w:val="28"/>
          <w:szCs w:val="28"/>
          <w:lang w:val="pt-BR"/>
        </w:rPr>
        <w:t xml:space="preserve"> atuação extrajudicial.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ab/>
        <w:t>21.2 Pontos Fracos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numPr>
          <w:ilvl w:val="0"/>
          <w:numId w:val="3"/>
        </w:numPr>
        <w:spacing w:before="11" w:after="0"/>
        <w:jc w:val="both"/>
        <w:rPr>
          <w:sz w:val="28"/>
          <w:szCs w:val="28"/>
        </w:rPr>
      </w:pPr>
      <w:r>
        <w:rPr>
          <w:rFonts w:eastAsia="Arial" w:cs="Arial"/>
          <w:color w:val="auto"/>
          <w:kern w:val="0"/>
          <w:sz w:val="28"/>
          <w:szCs w:val="28"/>
          <w:lang w:val="pt-BR" w:eastAsia="pt-PT" w:bidi="pt-PT"/>
        </w:rPr>
        <w:t>Recursos tecnológicos disponibilizados para captar e analisar os dados da atuação junto ao sistema de gerenciamento dos procedimentos extrajudiciais da instituição (PRO-MP).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22. FATORES EXTERNOS</w:t>
      </w:r>
    </w:p>
    <w:p>
      <w:pPr>
        <w:pStyle w:val="Corpodotexto"/>
        <w:spacing w:before="11" w:after="0"/>
        <w:jc w:val="both"/>
        <w:rPr>
          <w:sz w:val="24"/>
          <w:szCs w:val="24"/>
        </w:rPr>
      </w:pPr>
      <w:r>
        <w:rPr>
          <w:sz w:val="24"/>
          <w:szCs w:val="24"/>
          <w:lang w:val="pt-BR"/>
        </w:rPr>
        <w:t>(Características da realidade fática que afetaram a iniciativa)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ab/>
        <w:t xml:space="preserve">22.1 Oportunidades 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 xml:space="preserve">Interlocução com a Associação dos Municípios do Paraná (AMP) e a União de Câmaras, Vereadores e Gestores Públicos do Paraná (Uvepar), </w:t>
      </w:r>
      <w:r>
        <w:rPr>
          <w:rFonts w:eastAsia="Arial" w:cs="Arial"/>
          <w:color w:val="auto"/>
          <w:kern w:val="0"/>
          <w:sz w:val="28"/>
          <w:szCs w:val="28"/>
          <w:lang w:val="pt-BR" w:eastAsia="pt-PT" w:bidi="pt-PT"/>
        </w:rPr>
        <w:t>o que contribuiu</w:t>
      </w:r>
      <w:r>
        <w:rPr>
          <w:sz w:val="28"/>
          <w:szCs w:val="28"/>
          <w:lang w:val="pt-BR"/>
        </w:rPr>
        <w:t xml:space="preserve"> </w:t>
      </w:r>
      <w:r>
        <w:rPr>
          <w:rFonts w:eastAsia="Arial" w:cs="Arial"/>
          <w:color w:val="auto"/>
          <w:kern w:val="0"/>
          <w:sz w:val="28"/>
          <w:szCs w:val="28"/>
          <w:lang w:val="pt-BR" w:eastAsia="pt-PT" w:bidi="pt-PT"/>
        </w:rPr>
        <w:t>para a</w:t>
      </w:r>
      <w:r>
        <w:rPr>
          <w:sz w:val="28"/>
          <w:szCs w:val="28"/>
          <w:lang w:val="pt-BR"/>
        </w:rPr>
        <w:t xml:space="preserve"> célere adesão de Municípios e Câmaras Municipais ao projeto; </w:t>
      </w:r>
    </w:p>
    <w:p>
      <w:pPr>
        <w:pStyle w:val="Corpodotexto"/>
        <w:numPr>
          <w:ilvl w:val="0"/>
          <w:numId w:val="2"/>
        </w:numPr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 xml:space="preserve">Disponibilização de ferramentas e soluções tecnológicas, por meio de instrumentos de parcerias com a Celepar, Itaipu Binacional e Parque Tecnológico da Itaipu, </w:t>
      </w:r>
      <w:r>
        <w:rPr>
          <w:rFonts w:eastAsia="Arial" w:cs="Arial"/>
          <w:color w:val="auto"/>
          <w:kern w:val="0"/>
          <w:sz w:val="28"/>
          <w:szCs w:val="28"/>
          <w:lang w:val="pt-BR" w:eastAsia="pt-PT" w:bidi="pt-PT"/>
        </w:rPr>
        <w:t>de modo a auxiliar</w:t>
      </w:r>
      <w:r>
        <w:rPr>
          <w:sz w:val="28"/>
          <w:szCs w:val="28"/>
          <w:lang w:val="pt-BR"/>
        </w:rPr>
        <w:t xml:space="preserve"> o gestor público na adequação dos Portais de Transparência.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ab/>
        <w:t>22.2 Ameaças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numPr>
          <w:ilvl w:val="0"/>
          <w:numId w:val="4"/>
        </w:numPr>
        <w:spacing w:before="11" w:after="0"/>
        <w:ind w:left="709" w:hanging="36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Precariedade das ferramentas e soluções tecnológicas que dispõe grande parte dos Municípios paranaenses para alimentação e manutenção de seus Portais de Transparência.</w:t>
      </w:r>
    </w:p>
    <w:p>
      <w:pPr>
        <w:pStyle w:val="Corpodotexto"/>
        <w:numPr>
          <w:ilvl w:val="0"/>
          <w:numId w:val="4"/>
        </w:numPr>
        <w:spacing w:before="11" w:after="0"/>
        <w:ind w:left="709" w:hanging="360"/>
        <w:jc w:val="both"/>
        <w:rPr>
          <w:sz w:val="28"/>
          <w:szCs w:val="28"/>
          <w:lang w:val="pt-BR"/>
        </w:rPr>
      </w:pPr>
      <w:r>
        <w:rPr>
          <w:rFonts w:eastAsia="Arial" w:cs="Arial"/>
          <w:color w:val="auto"/>
          <w:kern w:val="0"/>
          <w:sz w:val="28"/>
          <w:szCs w:val="28"/>
          <w:lang w:val="pt-BR" w:eastAsia="pt-PT" w:bidi="pt-PT"/>
        </w:rPr>
        <w:t>Ausência de taxionomia conjunta entre os órgãos de controle do Estado que permita uniformidade quanto aos requisitos exigidos na verificação dos Portais de Transparência</w:t>
      </w:r>
      <w:r>
        <w:rPr>
          <w:sz w:val="28"/>
          <w:szCs w:val="28"/>
          <w:lang w:val="pt-BR"/>
        </w:rPr>
        <w:t>.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 xml:space="preserve">23. HOUVE </w:t>
      </w:r>
      <w:r>
        <w:rPr>
          <w:b/>
          <w:bCs/>
          <w:sz w:val="28"/>
          <w:szCs w:val="28"/>
          <w:lang w:val="pt-BR"/>
        </w:rPr>
        <w:t>DIAGNÓSTICO</w:t>
      </w:r>
      <w:r>
        <w:rPr>
          <w:sz w:val="28"/>
          <w:szCs w:val="28"/>
          <w:lang w:val="pt-BR"/>
        </w:rPr>
        <w:t xml:space="preserve"> PRÉVIO DA REALIDADE A SER ENFRENTADA? COMO FOI REALIZADO? 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 xml:space="preserve">O diagnóstico foi inserido como etapa do projeto, que prevê a avaliação dos Portais da Transparência por meio de auditoria. 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 xml:space="preserve">24. OS DADOS DO </w:t>
      </w:r>
      <w:r>
        <w:rPr>
          <w:b/>
          <w:bCs/>
          <w:sz w:val="28"/>
          <w:szCs w:val="28"/>
          <w:lang w:val="pt-BR"/>
        </w:rPr>
        <w:t>DIAGNÓSTICO</w:t>
      </w:r>
      <w:r>
        <w:rPr>
          <w:sz w:val="28"/>
          <w:szCs w:val="28"/>
          <w:lang w:val="pt-BR"/>
        </w:rPr>
        <w:t xml:space="preserve"> FORAM COMPARTILHADOS COM OUTROS ÓRGÃOS? 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rFonts w:ascii="Arial" w:hAnsi="Arial" w:eastAsia="Arial" w:cs="Arial"/>
          <w:color w:val="auto"/>
          <w:kern w:val="0"/>
          <w:sz w:val="28"/>
          <w:szCs w:val="28"/>
          <w:lang w:val="pt-BR" w:eastAsia="pt-PT" w:bidi="pt-PT"/>
        </w:rPr>
      </w:pPr>
      <w:r>
        <w:rPr>
          <w:rFonts w:eastAsia="Arial" w:cs="Arial"/>
          <w:color w:val="auto"/>
          <w:kern w:val="0"/>
          <w:sz w:val="28"/>
          <w:szCs w:val="28"/>
          <w:lang w:val="pt-BR" w:eastAsia="pt-PT" w:bidi="pt-PT"/>
        </w:rPr>
        <w:t>Sim, perante a Rede de Controle da Gestão Pública do Paraná.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 xml:space="preserve">25. HOUVE A PRODUÇÃO DE </w:t>
      </w:r>
      <w:r>
        <w:rPr>
          <w:b/>
          <w:bCs/>
          <w:sz w:val="28"/>
          <w:szCs w:val="28"/>
          <w:lang w:val="pt-BR"/>
        </w:rPr>
        <w:t>ESTUDOS BÁSICOS</w:t>
      </w:r>
      <w:r>
        <w:rPr>
          <w:sz w:val="28"/>
          <w:szCs w:val="28"/>
          <w:lang w:val="pt-BR"/>
        </w:rPr>
        <w:t xml:space="preserve"> REFERENTES AO TEMA? QUAL ÓRGÃO RESPONSÁVEL? 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Não.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 xml:space="preserve">26. HOUVE AÇÕES ESPECÍFICAS DE </w:t>
      </w:r>
      <w:r>
        <w:rPr>
          <w:b/>
          <w:bCs/>
          <w:sz w:val="28"/>
          <w:szCs w:val="28"/>
          <w:lang w:val="pt-BR"/>
        </w:rPr>
        <w:t>COMUNICAÇÃO / DIVULGAÇÃO</w:t>
      </w:r>
      <w:r>
        <w:rPr>
          <w:sz w:val="28"/>
          <w:szCs w:val="28"/>
          <w:lang w:val="pt-BR"/>
        </w:rPr>
        <w:t xml:space="preserve"> RELACIONADAS AO PROJETO? 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 xml:space="preserve">Foi criada página web </w:t>
      </w:r>
      <w:r>
        <w:rPr>
          <w:rFonts w:eastAsia="Arial" w:cs="Arial"/>
          <w:color w:val="auto"/>
          <w:kern w:val="0"/>
          <w:sz w:val="28"/>
          <w:szCs w:val="28"/>
          <w:lang w:val="pt-BR" w:eastAsia="pt-PT" w:bidi="pt-PT"/>
        </w:rPr>
        <w:t>para divulgação permanente da</w:t>
      </w:r>
      <w:r>
        <w:rPr>
          <w:sz w:val="28"/>
          <w:szCs w:val="28"/>
          <w:lang w:val="pt-BR"/>
        </w:rPr>
        <w:t xml:space="preserve"> iniciativa (</w:t>
      </w:r>
      <w:hyperlink r:id="rId9">
        <w:r>
          <w:rPr>
            <w:rStyle w:val="LinkdaInternet"/>
            <w:sz w:val="28"/>
            <w:szCs w:val="28"/>
            <w:lang w:val="pt-BR"/>
          </w:rPr>
          <w:t>http://click.mppr.mp.br/projeto-transparencia</w:t>
        </w:r>
      </w:hyperlink>
      <w:r>
        <w:rPr>
          <w:rStyle w:val="LinkdaInternet"/>
          <w:sz w:val="28"/>
          <w:szCs w:val="28"/>
          <w:lang w:val="pt-BR"/>
        </w:rPr>
        <w:t>)</w:t>
      </w:r>
      <w:r>
        <w:rPr>
          <w:rStyle w:val="LinkdaInternet"/>
          <w:color w:val="auto"/>
          <w:sz w:val="28"/>
          <w:szCs w:val="28"/>
          <w:u w:val="none"/>
          <w:lang w:val="pt-BR"/>
        </w:rPr>
        <w:t xml:space="preserve">, produzidos </w:t>
      </w:r>
      <w:r>
        <w:rPr>
          <w:rStyle w:val="LinkdaInternet"/>
          <w:i/>
          <w:iCs/>
          <w:color w:val="auto"/>
          <w:sz w:val="28"/>
          <w:szCs w:val="28"/>
          <w:u w:val="none"/>
          <w:lang w:val="pt-BR"/>
        </w:rPr>
        <w:t>releases</w:t>
      </w:r>
      <w:r>
        <w:rPr>
          <w:rStyle w:val="LinkdaInternet"/>
          <w:color w:val="auto"/>
          <w:sz w:val="28"/>
          <w:szCs w:val="28"/>
          <w:u w:val="none"/>
          <w:lang w:val="pt-BR"/>
        </w:rPr>
        <w:t xml:space="preserve"> para a imprensa e publicações na página institucional do MPPR, sob a responsabilidade da Assessoria de Comunicação, e também no Informativo do CAOPPPOT.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 xml:space="preserve">27. A INICIATIVA PRODUZIU </w:t>
      </w:r>
      <w:r>
        <w:rPr>
          <w:b/>
          <w:bCs/>
          <w:sz w:val="28"/>
          <w:szCs w:val="28"/>
          <w:lang w:val="pt-BR"/>
        </w:rPr>
        <w:t>PEÇAS, MODELOS OU GUIAS</w:t>
      </w:r>
      <w:r>
        <w:rPr>
          <w:sz w:val="28"/>
          <w:szCs w:val="28"/>
          <w:lang w:val="pt-BR"/>
        </w:rPr>
        <w:t xml:space="preserve"> DE ATUAÇÃO, RELACIONADOS À ATUAÇÃO FINALÍSTICA DO MP? ESPECIFICAR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numPr>
          <w:ilvl w:val="0"/>
          <w:numId w:val="9"/>
        </w:numPr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 xml:space="preserve">Certidão de Verificação dos Portais da Transparência dos Municípios e Câmaras de Vereadores, na forma de </w:t>
      </w:r>
      <w:r>
        <w:rPr>
          <w:i/>
          <w:iCs/>
          <w:sz w:val="28"/>
          <w:szCs w:val="28"/>
          <w:lang w:val="pt-BR"/>
        </w:rPr>
        <w:t>checklist</w:t>
      </w:r>
      <w:r>
        <w:rPr>
          <w:sz w:val="28"/>
          <w:szCs w:val="28"/>
          <w:lang w:val="pt-BR"/>
        </w:rPr>
        <w:t xml:space="preserve"> dos itens que serão avaliados nos respectivos portais.</w:t>
      </w:r>
    </w:p>
    <w:p>
      <w:pPr>
        <w:pStyle w:val="Corpodotexto"/>
        <w:numPr>
          <w:ilvl w:val="0"/>
          <w:numId w:val="9"/>
        </w:numPr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Seleção e disponibilização de modelos de ações civis públicas, recomendações administrativas e termos de ajustamento de conduta na página web do CAOPPPOT.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 xml:space="preserve">28. COMO SE DEU O ENVOLVIMENTO DOS </w:t>
      </w:r>
      <w:r>
        <w:rPr>
          <w:b/>
          <w:bCs/>
          <w:sz w:val="28"/>
          <w:szCs w:val="28"/>
          <w:lang w:val="pt-BR"/>
        </w:rPr>
        <w:t>MEMBROS DA INSTITUIÇÃO</w:t>
      </w:r>
      <w:r>
        <w:rPr>
          <w:sz w:val="28"/>
          <w:szCs w:val="28"/>
          <w:lang w:val="pt-BR"/>
        </w:rPr>
        <w:t xml:space="preserve"> NO PROJETO / PROGRAMA? HOUVE ESTÍMULO PARA ADOÇÃO DA INICIATIVA EM CADA UNIDADE TERRITORIAL?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 xml:space="preserve">Houve 100% de adesão dos membros da instituição na fase de implementação do projeto. </w:t>
      </w:r>
      <w:r>
        <w:rPr>
          <w:rFonts w:eastAsia="Arial" w:cs="Arial"/>
          <w:color w:val="auto"/>
          <w:kern w:val="0"/>
          <w:sz w:val="28"/>
          <w:szCs w:val="28"/>
          <w:lang w:val="pt-BR" w:eastAsia="pt-PT" w:bidi="pt-PT"/>
        </w:rPr>
        <w:t>Assim</w:t>
      </w:r>
      <w:r>
        <w:rPr>
          <w:sz w:val="28"/>
          <w:szCs w:val="28"/>
          <w:lang w:val="pt-BR"/>
        </w:rPr>
        <w:t xml:space="preserve">, foram instaurados procedimentos extrajudiciais e adotadas medidas em relação aos Portais de Transparência de cada um dos 399 Municípios e 399 Câmaras Municipais do Estado. Isso ocorreu em virtude do monitoramento dos órgãos de execução e do acompanhamento e interlocução entre CAOPPPOT, Subprocuradoria-Geral de Justiça para Assuntos de Planejamento Institucional (Subplan) e Corregedoria-Geral. 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 xml:space="preserve">29. A INICIATIVA PROMOVEU A REALIZAÇÃO DE </w:t>
      </w:r>
      <w:r>
        <w:rPr>
          <w:b/>
          <w:bCs/>
          <w:sz w:val="28"/>
          <w:szCs w:val="28"/>
          <w:lang w:val="pt-BR"/>
        </w:rPr>
        <w:t>EVENTOS E SEMINÁRIOS</w:t>
      </w:r>
      <w:r>
        <w:rPr>
          <w:sz w:val="28"/>
          <w:szCs w:val="28"/>
          <w:lang w:val="pt-BR"/>
        </w:rPr>
        <w:t>? DE QUE TIPO? INFORMAR, SE POSSÍVEL, FORMATO DO EVENTO, DATAS E PÚBLICO PARTICIPANTE.</w:t>
      </w:r>
    </w:p>
    <w:p>
      <w:pPr>
        <w:pStyle w:val="Corpodotexto"/>
        <w:spacing w:before="11" w:after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Apresentação dos resultados da avaliação dos Portais da Transparência, realizada pelo MPPR, no período compreendido entre 15 e 30 de junho/2017, e desenvolvimento de atividades em grupo e individuais com o objetivo de aplicar o “Diagrama de Causa-Efeito para o problema ‘Portal da Transparência não atende à legislação’”:</w:t>
      </w:r>
    </w:p>
    <w:p>
      <w:pPr>
        <w:pStyle w:val="Corpodotexto"/>
        <w:numPr>
          <w:ilvl w:val="0"/>
          <w:numId w:val="6"/>
        </w:numPr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Data: 03 de julho de 2017</w:t>
      </w:r>
    </w:p>
    <w:p>
      <w:pPr>
        <w:pStyle w:val="Corpodotexto"/>
        <w:numPr>
          <w:ilvl w:val="0"/>
          <w:numId w:val="6"/>
        </w:numPr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Público participante: representantes do CAOPPPOT, da Subplan, da Diretoria do Parque Tecnológico Itaipu (PTI), da Coordenadoria do Gepatria da região de Foz do Iguaçu, da AMP, da Uvepar e de gestores, servidores e presidentes de Câmaras dos Municípios lindeiros de Foz do Iguaçu e de Clevelândia/PR.</w:t>
      </w:r>
    </w:p>
    <w:p>
      <w:pPr>
        <w:pStyle w:val="Corpodotexto"/>
        <w:numPr>
          <w:ilvl w:val="0"/>
          <w:numId w:val="6"/>
        </w:numPr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Na oportunidade, a Uvepar entregou cópia da pesquisa efetuada com 177 Câmaras Municipais do</w:t>
      </w:r>
      <w:r>
        <w:rPr>
          <w:lang w:val="pt-BR"/>
        </w:rPr>
        <w:t xml:space="preserve"> </w:t>
      </w:r>
      <w:r>
        <w:rPr>
          <w:sz w:val="28"/>
          <w:szCs w:val="28"/>
          <w:lang w:val="pt-BR"/>
        </w:rPr>
        <w:t>Estado do Paraná, aplicada entre os dias 21 e 30 de junho de 2017, referente às dificuldades encontradas para o cumprimento integral das exigências da Lei de Acesso à Informação.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Formação de Grupo de Trabalho</w:t>
      </w:r>
      <w:r>
        <w:rPr>
          <w:lang w:val="pt-BR"/>
        </w:rPr>
        <w:t xml:space="preserve"> </w:t>
      </w:r>
      <w:r>
        <w:rPr>
          <w:sz w:val="28"/>
          <w:szCs w:val="28"/>
          <w:lang w:val="pt-BR"/>
        </w:rPr>
        <w:t>composto por representantes do CAOPPPOT, da Subplan, da Casa Civil, da CGE-PR, do TCE-PR, do Comitê de Olho na Transparência, do CORECON-PR, do Observatório Social do Brasil, da AMP, da Uvepar e das Associações de Câmaras e Municípios de Microrregiões do Estado:</w:t>
      </w:r>
    </w:p>
    <w:p>
      <w:pPr>
        <w:pStyle w:val="Corpodotexto"/>
        <w:numPr>
          <w:ilvl w:val="0"/>
          <w:numId w:val="7"/>
        </w:numPr>
        <w:spacing w:before="11" w:after="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Data: a primeira reunião ocorreu em 25 de julho de 2018.</w:t>
      </w:r>
    </w:p>
    <w:p>
      <w:pPr>
        <w:pStyle w:val="Corpodotexto"/>
        <w:numPr>
          <w:ilvl w:val="0"/>
          <w:numId w:val="7"/>
        </w:numPr>
        <w:spacing w:before="11" w:after="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Objetivo: elaborar uma parametrização dos quesitos dos Portais da Transparência, priorizando os atos conjuntos para controle, o fortalecimento do controle social e o estabelecimento de um diálogo único com as Empresas de TI; e acolhimento de sugestões e experiências para as próximas fases do Projeto Transparência nos Municípios.</w:t>
      </w:r>
    </w:p>
    <w:p>
      <w:pPr>
        <w:pStyle w:val="Corpodotexto"/>
        <w:spacing w:before="11" w:after="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</w:r>
    </w:p>
    <w:p>
      <w:pPr>
        <w:pStyle w:val="Corpodotexto"/>
        <w:numPr>
          <w:ilvl w:val="0"/>
          <w:numId w:val="0"/>
        </w:numPr>
        <w:spacing w:before="11" w:after="0"/>
        <w:ind w:left="720" w:hanging="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 xml:space="preserve">Curso de Formação de Multiplicadores no Modelo de Excelência em Gestão dos Órgãos e Entidades que Operam Transferências da União – MEG-Tr: </w:t>
      </w:r>
    </w:p>
    <w:p>
      <w:pPr>
        <w:pStyle w:val="Corpodotexto"/>
        <w:numPr>
          <w:ilvl w:val="0"/>
          <w:numId w:val="5"/>
        </w:numPr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Iniciativa: Ministério da Economia, Secretaria de Gestão do Ministério da Economia – Departamento de Transferências Voluntárias.</w:t>
      </w:r>
    </w:p>
    <w:p>
      <w:pPr>
        <w:pStyle w:val="Corpodotexto"/>
        <w:numPr>
          <w:ilvl w:val="0"/>
          <w:numId w:val="5"/>
        </w:numPr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Público-alvo: 190 gestores, técnicos e controladores internos dos Municípios do Estado do Paraná.</w:t>
      </w:r>
    </w:p>
    <w:p>
      <w:pPr>
        <w:pStyle w:val="Corpodotexto"/>
        <w:numPr>
          <w:ilvl w:val="0"/>
          <w:numId w:val="5"/>
        </w:numPr>
        <w:spacing w:before="11" w:after="0"/>
        <w:jc w:val="both"/>
        <w:rPr>
          <w:sz w:val="32"/>
          <w:szCs w:val="32"/>
        </w:rPr>
      </w:pPr>
      <w:r>
        <w:rPr>
          <w:sz w:val="28"/>
          <w:szCs w:val="28"/>
          <w:lang w:val="pt-BR"/>
        </w:rPr>
        <w:t>Data: 26 a 28 de fevereiro de 2019.</w:t>
      </w:r>
    </w:p>
    <w:p>
      <w:pPr>
        <w:pStyle w:val="Corpodotexto"/>
        <w:numPr>
          <w:ilvl w:val="0"/>
          <w:numId w:val="5"/>
        </w:numPr>
        <w:spacing w:before="11" w:after="0"/>
        <w:jc w:val="both"/>
        <w:rPr>
          <w:sz w:val="32"/>
          <w:szCs w:val="32"/>
        </w:rPr>
      </w:pPr>
      <w:r>
        <w:rPr>
          <w:sz w:val="28"/>
          <w:szCs w:val="28"/>
          <w:lang w:val="pt-BR"/>
        </w:rPr>
        <w:t>Formato: presencial.</w:t>
      </w:r>
    </w:p>
    <w:p>
      <w:pPr>
        <w:pStyle w:val="Corpodotexto"/>
        <w:spacing w:before="11" w:after="0"/>
        <w:ind w:left="720" w:hanging="0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Corpodotexto"/>
        <w:spacing w:before="11" w:after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Corpodotexto"/>
        <w:spacing w:before="11" w:after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  <w:lang w:val="pt-BR"/>
        </w:rPr>
        <w:t>IV</w:t>
      </w:r>
      <w:r>
        <w:rPr>
          <w:sz w:val="32"/>
          <w:szCs w:val="32"/>
          <w:lang w:val="pt-BR"/>
        </w:rPr>
        <w:t xml:space="preserve"> </w:t>
      </w:r>
      <w:r>
        <w:rPr>
          <w:b/>
          <w:bCs/>
          <w:sz w:val="32"/>
          <w:szCs w:val="32"/>
          <w:lang w:val="pt-BR"/>
        </w:rPr>
        <w:t>RESULTADOS</w:t>
      </w:r>
    </w:p>
    <w:p>
      <w:pPr>
        <w:pStyle w:val="Corpodotexto"/>
        <w:spacing w:before="11" w:after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30. QUAIS OS PRINCIPAIS RESULTADOS ALCANÇADOS PELO PROJETO / PROGRAMA?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Todos os 399 Municípios e as 399 Câmaras Municipais do Estado, totalizando 798 entes municipais, implementaram seus Portais de Transparência e dispõem de informações padronizadas, exigidas a partir da cobrança em auditoria de requisitos obrigatórios.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Desenvolvimento, pela parceira Celepar, de protótipo de plataforma tecnológica para a hospedagem de Portais de Transparência.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rFonts w:eastAsia="Arial" w:cs="Arial"/>
          <w:color w:val="auto"/>
          <w:kern w:val="0"/>
          <w:sz w:val="28"/>
          <w:szCs w:val="28"/>
          <w:lang w:val="pt-BR" w:eastAsia="pt-PT" w:bidi="pt-PT"/>
        </w:rPr>
        <w:t>Capacitação</w:t>
      </w:r>
      <w:r>
        <w:rPr>
          <w:sz w:val="28"/>
          <w:szCs w:val="28"/>
          <w:lang w:val="pt-BR"/>
        </w:rPr>
        <w:t xml:space="preserve"> de 191 alunos da Universidade Positivo para realizar verificações em Portais de Transparência, como forma de incentivar o exercício do controle social. 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31. FOI POSSÍVEL APURAR A MUDANÇA DA REALIDADE INICIALMENTE DIAGNOSTICADA? QUAIS INDICADORES ATESTAM TAL TRANSFORMAÇÃO?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Hoje 100% dos Municípios e Câmaras Municipais do Paraná possuem Portais de Transparência implementados.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Foram celebrados até o momento 569 termos de ajustamento de conduta (280 Municípios e 289 Câmaras). Isso significa que 70,1% dos Municípios e 72,4% das Câmaras Municipais do Estado implantaram ou regularizaram seus Portais da Transparência por meio de solução negociada com o MPPR.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 xml:space="preserve">32. O PROJETO / PROGRAMA PRODUZIU RESULTADOS MENSURÁVEIS NO TOCANTE À </w:t>
      </w:r>
      <w:r>
        <w:rPr>
          <w:b/>
          <w:bCs/>
          <w:sz w:val="28"/>
          <w:szCs w:val="28"/>
          <w:lang w:val="pt-BR"/>
        </w:rPr>
        <w:t>ATIVIDADE FINALÍSTICA DO MPPR</w:t>
      </w:r>
      <w:r>
        <w:rPr>
          <w:sz w:val="28"/>
          <w:szCs w:val="28"/>
          <w:lang w:val="pt-BR"/>
        </w:rPr>
        <w:t xml:space="preserve"> ? SE POSSÍVEL, INFORMAR NUMERO DE INQUÉRITOS CIVIS, PROCEDIMENTOS ADMINISTRATIVOS, TERMOS DE AJUSTAMENTO DE CONDUTA, RECOMENDAÇÕES E AÇÕES JUDICIAIS MOVIDAS NO CURSO DA INICIATIVA.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numPr>
          <w:ilvl w:val="0"/>
          <w:numId w:val="8"/>
        </w:numPr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 xml:space="preserve">Instauração de 862 procedimentos extrajudiciais </w:t>
      </w:r>
      <w:r>
        <w:rPr>
          <w:rFonts w:eastAsia="Arial" w:cs="Arial"/>
          <w:color w:val="auto"/>
          <w:kern w:val="0"/>
          <w:sz w:val="28"/>
          <w:szCs w:val="28"/>
          <w:lang w:val="pt-BR" w:eastAsia="pt-PT" w:bidi="pt-PT"/>
        </w:rPr>
        <w:t>relacionados a</w:t>
      </w:r>
      <w:r>
        <w:rPr>
          <w:sz w:val="28"/>
          <w:szCs w:val="28"/>
          <w:lang w:val="pt-BR"/>
        </w:rPr>
        <w:t xml:space="preserve">o projeto </w:t>
      </w:r>
      <w:r>
        <w:rPr>
          <w:rFonts w:eastAsia="Arial" w:cs="Arial"/>
          <w:color w:val="auto"/>
          <w:kern w:val="0"/>
          <w:sz w:val="28"/>
          <w:szCs w:val="28"/>
          <w:lang w:val="pt-BR" w:eastAsia="pt-PT" w:bidi="pt-PT"/>
        </w:rPr>
        <w:t>pelos órgãos de execução do MPPR.</w:t>
      </w:r>
    </w:p>
    <w:p>
      <w:pPr>
        <w:pStyle w:val="Corpodotexto"/>
        <w:numPr>
          <w:ilvl w:val="0"/>
          <w:numId w:val="8"/>
        </w:numPr>
        <w:spacing w:before="11" w:after="0"/>
        <w:jc w:val="both"/>
        <w:rPr>
          <w:sz w:val="28"/>
          <w:szCs w:val="28"/>
        </w:rPr>
      </w:pPr>
      <w:r>
        <w:rPr>
          <w:rFonts w:eastAsia="Arial" w:cs="Arial"/>
          <w:color w:val="auto"/>
          <w:kern w:val="0"/>
          <w:sz w:val="28"/>
          <w:szCs w:val="28"/>
          <w:lang w:val="pt-BR" w:eastAsia="pt-PT" w:bidi="pt-PT"/>
        </w:rPr>
        <w:t>R</w:t>
      </w:r>
      <w:r>
        <w:rPr>
          <w:sz w:val="28"/>
          <w:szCs w:val="28"/>
          <w:lang w:val="pt-BR"/>
        </w:rPr>
        <w:t>ealização de 975 auditorias para verificação de Portais.</w:t>
      </w:r>
    </w:p>
    <w:p>
      <w:pPr>
        <w:pStyle w:val="Corpodotexto"/>
        <w:numPr>
          <w:ilvl w:val="0"/>
          <w:numId w:val="8"/>
        </w:numPr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Celebração de 569 termos de ajustamento de conduta com a Administração Pública (280 Municípios e 289 Câmaras).</w:t>
      </w:r>
    </w:p>
    <w:p>
      <w:pPr>
        <w:pStyle w:val="Corpodotexto"/>
        <w:numPr>
          <w:ilvl w:val="0"/>
          <w:numId w:val="8"/>
        </w:numPr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Ajuizamento de 308 ações judiciais (170 Municípios e 138 Câmaras), englobando ações civis públicas e execuções de termos de ajustamento de conduta, nos casos em que a atuação resolutiva se mostrou inexitosa.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33. QUAIS FORAM OS RECURSOS CONSUMIDOS PELA INICIATIVA ?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O projeto utilizou recursos já disponibilizados à unidade executora, sem custos adicionais.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34. AÇÕES RELACIONADAS AO PROJETO / PROGRAMA REDUNDARAM EM OUTRAS INICIATIVAS MOVIDAS PELO MINISTÉRIO PÚBLICO?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 xml:space="preserve">Criação do </w:t>
      </w:r>
      <w:hyperlink r:id="rId10">
        <w:r>
          <w:rPr>
            <w:rStyle w:val="LinkdaInternet"/>
            <w:sz w:val="28"/>
            <w:szCs w:val="28"/>
            <w:u w:val="none"/>
            <w:lang w:val="pt-BR"/>
          </w:rPr>
          <w:t>Painel Covid-19</w:t>
        </w:r>
      </w:hyperlink>
      <w:r>
        <w:rPr>
          <w:sz w:val="28"/>
          <w:szCs w:val="28"/>
          <w:lang w:val="pt-BR"/>
        </w:rPr>
        <w:t xml:space="preserve"> para incentivar a transparência e o acompanhamento dos gastos e dos recursos recebidos pelos Municípios paranaenses para o enfrentamento da pandemia da Covid-19.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rFonts w:eastAsia="Arial" w:cs="Arial"/>
          <w:color w:val="auto"/>
          <w:kern w:val="0"/>
          <w:sz w:val="28"/>
          <w:szCs w:val="28"/>
          <w:lang w:val="pt-BR" w:eastAsia="pt-PT" w:bidi="pt-PT"/>
        </w:rPr>
        <w:t>Desenvolvimento da</w:t>
      </w:r>
      <w:r>
        <w:rPr>
          <w:sz w:val="28"/>
          <w:szCs w:val="28"/>
          <w:lang w:val="pt-BR"/>
        </w:rPr>
        <w:t xml:space="preserve"> ferramenta </w:t>
      </w:r>
      <w:hyperlink r:id="rId11">
        <w:r>
          <w:rPr>
            <w:rStyle w:val="LinkdaInternet"/>
            <w:sz w:val="28"/>
            <w:szCs w:val="28"/>
            <w:u w:val="none"/>
            <w:lang w:val="pt-BR"/>
          </w:rPr>
          <w:t>Transparência nos Municípios</w:t>
        </w:r>
      </w:hyperlink>
      <w:r>
        <w:rPr>
          <w:sz w:val="28"/>
          <w:szCs w:val="28"/>
          <w:lang w:val="pt-BR"/>
        </w:rPr>
        <w:t>, que analisa os aspectos formais e avalia se os Municípios estão cumprindo a lei e divulgando de forma adequada as informações sobre o combate à pandemia da Covid-19 em seus Portais de Transparência.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 xml:space="preserve">Identificação do Responsável pelo Preenchimento: 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 xml:space="preserve">Promotor de Justiça Leonardo Dumke Busatto 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Assessora Jurídica Danieli Kotelak de Melo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>Data e Local:</w:t>
      </w:r>
    </w:p>
    <w:p>
      <w:pPr>
        <w:pStyle w:val="Corpodotexto"/>
        <w:spacing w:before="11" w:after="0"/>
        <w:jc w:val="both"/>
        <w:rPr>
          <w:sz w:val="28"/>
          <w:szCs w:val="28"/>
        </w:rPr>
      </w:pPr>
      <w:r>
        <w:rPr>
          <w:sz w:val="28"/>
          <w:szCs w:val="28"/>
          <w:lang w:val="pt-BR"/>
        </w:rPr>
        <w:t xml:space="preserve">Curitiba, </w:t>
      </w:r>
      <w:r>
        <w:rPr>
          <w:sz w:val="28"/>
          <w:szCs w:val="28"/>
          <w:shd w:fill="auto" w:val="clear"/>
          <w:lang w:val="pt-BR"/>
        </w:rPr>
        <w:t xml:space="preserve">19 </w:t>
      </w:r>
      <w:r>
        <w:rPr>
          <w:sz w:val="28"/>
          <w:szCs w:val="28"/>
          <w:lang w:val="pt-BR"/>
        </w:rPr>
        <w:t>de julho de 2021.</w:t>
      </w:r>
    </w:p>
    <w:sectPr>
      <w:footerReference w:type="default" r:id="rId12"/>
      <w:type w:val="nextPage"/>
      <w:pgSz w:w="11906" w:h="16838"/>
      <w:pgMar w:left="1560" w:right="1268" w:header="0" w:top="1843" w:footer="720" w:bottom="1418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05825032"/>
    </w:sdtPr>
    <w:sdtContent>
      <w:p>
        <w:pPr>
          <w:pStyle w:val="Rodap"/>
          <w:jc w:val="right"/>
          <w:rPr>
            <w:lang w:val="pt-BR"/>
          </w:rPr>
        </w:pPr>
        <w:r>
          <w:rPr>
            <w:lang w:val="pt-BR"/>
          </w:rPr>
          <w:fldChar w:fldCharType="begin"/>
        </w:r>
        <w:r>
          <w:rPr>
            <w:lang w:val="pt-BR"/>
          </w:rPr>
          <w:instrText> PAGE </w:instrText>
        </w:r>
        <w:r>
          <w:rPr>
            <w:lang w:val="pt-BR"/>
          </w:rPr>
          <w:fldChar w:fldCharType="separate"/>
        </w:r>
        <w:r>
          <w:rPr>
            <w:lang w:val="pt-BR"/>
          </w:rPr>
          <w:t>11</w:t>
        </w:r>
        <w:r>
          <w:rPr>
            <w:lang w:val="pt-BR"/>
          </w:rPr>
          <w:fldChar w:fldCharType="end"/>
        </w:r>
      </w:p>
    </w:sdtContent>
  </w:sdt>
  <w:p>
    <w:pPr>
      <w:pStyle w:val="Rodap"/>
      <w:rPr>
        <w:lang w:val="pt-BR"/>
      </w:rPr>
    </w:pPr>
    <w:r>
      <w:rPr>
        <w:lang w:val="pt-BR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PT" w:bidi="pt-PT"/>
    </w:rPr>
  </w:style>
  <w:style w:type="paragraph" w:styleId="Ttulo1">
    <w:name w:val="Heading 1"/>
    <w:basedOn w:val="Normal"/>
    <w:uiPriority w:val="1"/>
    <w:qFormat/>
    <w:pPr>
      <w:ind w:left="552" w:hanging="380"/>
      <w:jc w:val="center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32993"/>
    <w:rPr>
      <w:rFonts w:ascii="Tahoma" w:hAnsi="Tahoma" w:eastAsia="Arial" w:cs="Tahoma"/>
      <w:sz w:val="16"/>
      <w:szCs w:val="16"/>
      <w:lang w:eastAsia="pt-PT" w:bidi="pt-PT"/>
    </w:rPr>
  </w:style>
  <w:style w:type="character" w:styleId="LinkdaInternet">
    <w:name w:val="Link da Internet"/>
    <w:basedOn w:val="DefaultParagraphFont"/>
    <w:uiPriority w:val="99"/>
    <w:unhideWhenUsed/>
    <w:rsid w:val="00dc60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c6079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9b47c9"/>
    <w:rPr>
      <w:rFonts w:ascii="Arial" w:hAnsi="Arial" w:eastAsia="Arial" w:cs="Arial"/>
      <w:lang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9b47c9"/>
    <w:rPr>
      <w:rFonts w:ascii="Arial" w:hAnsi="Arial" w:eastAsia="Arial" w:cs="Arial"/>
      <w:lang w:eastAsia="pt-PT" w:bidi="pt-PT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892501"/>
    <w:rPr>
      <w:color w:val="800080" w:themeColor="followedHyperlink"/>
      <w:u w:val="single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072" w:hanging="181"/>
    </w:pPr>
    <w:rPr/>
  </w:style>
  <w:style w:type="paragraph" w:styleId="TableParagraph" w:customStyle="1">
    <w:name w:val="Table Paragraph"/>
    <w:basedOn w:val="Normal"/>
    <w:uiPriority w:val="1"/>
    <w:qFormat/>
    <w:pPr>
      <w:spacing w:before="52" w:after="0"/>
      <w:ind w:left="57" w:hanging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32993"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9b47c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9b47c9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aa14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://click.mppr.mp.br/projeto-transparencia" TargetMode="External"/><Relationship Id="rId5" Type="http://schemas.openxmlformats.org/officeDocument/2006/relationships/hyperlink" Target="mailto:caoppatrimonio@mppr.mp.br" TargetMode="External"/><Relationship Id="rId6" Type="http://schemas.openxmlformats.org/officeDocument/2006/relationships/hyperlink" Target="mailto:ldbusatto@mppr.mp.br" TargetMode="External"/><Relationship Id="rId7" Type="http://schemas.openxmlformats.org/officeDocument/2006/relationships/hyperlink" Target="https://planejamento.mppr.mp.br/modules/conteudo/conteudo.php?conteudo=1101" TargetMode="External"/><Relationship Id="rId8" Type="http://schemas.openxmlformats.org/officeDocument/2006/relationships/hyperlink" Target="https://site.mppr.mp.br/arquivos/File/Planejamento_Estrategico/Caderno_do_Planejamento_20192029/Final_Caderno_Planejamento_Ciclo_2019-2029_16_04_21.pdf" TargetMode="External"/><Relationship Id="rId9" Type="http://schemas.openxmlformats.org/officeDocument/2006/relationships/hyperlink" Target="http://click.mppr.mp.br/projeto-transparencia" TargetMode="External"/><Relationship Id="rId10" Type="http://schemas.openxmlformats.org/officeDocument/2006/relationships/hyperlink" Target="http://click.mppr.mp.br/painelcovid19" TargetMode="External"/><Relationship Id="rId11" Type="http://schemas.openxmlformats.org/officeDocument/2006/relationships/hyperlink" Target="https://site.mppr.mp.br/modules/conteudo/conteudo.php?conteudo=3399" TargetMode="Externa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Application>LibreOffice/7.0.1.2$Windows_X86_64 LibreOffice_project/7cbcfc562f6eb6708b5ff7d7397325de9e764452</Application>
  <Pages>11</Pages>
  <Words>1975</Words>
  <Characters>11694</Characters>
  <CharactersWithSpaces>13581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2020-11-19T14:25:00Z</dcterms:created>
  <dc:creator>.</dc:creator>
  <dc:description/>
  <dc:language>pt-BR</dc:language>
  <cp:lastModifiedBy/>
  <cp:lastPrinted>2020-11-19T21:49:00Z</cp:lastPrinted>
  <dcterms:modified xsi:type="dcterms:W3CDTF">2021-07-19T11:02:24Z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2018-03-27T00:00:00Z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2018-03-27T00:00:00Z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