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C02" w:rsidRDefault="00177C02" w:rsidP="00C74F72">
      <w:pPr>
        <w:tabs>
          <w:tab w:val="left" w:pos="1460"/>
        </w:tabs>
        <w:spacing w:after="120" w:line="276" w:lineRule="auto"/>
        <w:ind w:hanging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F72" w:rsidRDefault="00C74F72" w:rsidP="00C74F72">
      <w:pPr>
        <w:tabs>
          <w:tab w:val="left" w:pos="1460"/>
        </w:tabs>
        <w:spacing w:after="120" w:line="276" w:lineRule="auto"/>
        <w:ind w:hanging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JUSTIFICAÇÃO</w:t>
      </w:r>
    </w:p>
    <w:p w:rsidR="00177C02" w:rsidRDefault="00177C02" w:rsidP="00C74F72">
      <w:pPr>
        <w:tabs>
          <w:tab w:val="left" w:pos="1460"/>
        </w:tabs>
        <w:spacing w:after="120" w:line="276" w:lineRule="auto"/>
        <w:ind w:hanging="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79F" w:rsidRDefault="0001379F" w:rsidP="0001379F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termos do art. 130-A, § 2º da Constituição Federal, </w:t>
      </w:r>
      <w:r w:rsidRPr="00A608CE">
        <w:rPr>
          <w:rFonts w:ascii="Times New Roman" w:hAnsi="Times New Roman" w:cs="Times New Roman"/>
          <w:i/>
          <w:sz w:val="24"/>
          <w:szCs w:val="24"/>
        </w:rPr>
        <w:t>compete ao Conselho Nacional do Ministério Público o c</w:t>
      </w:r>
      <w:r>
        <w:rPr>
          <w:rFonts w:ascii="Times New Roman" w:hAnsi="Times New Roman" w:cs="Times New Roman"/>
          <w:i/>
          <w:sz w:val="24"/>
          <w:szCs w:val="24"/>
        </w:rPr>
        <w:t>ontrole da atuação administrativa e financeira do Ministério Público e do cumprimento dos deveres funcionais de seus membros.</w:t>
      </w:r>
    </w:p>
    <w:p w:rsidR="0001379F" w:rsidRPr="00F64970" w:rsidRDefault="00F64970" w:rsidP="009C6D50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citado dispositivo constitucional ainda dispõe, por meio do inciso II do § 2º, que compete ao Conselho Nacional do Ministério Público </w:t>
      </w:r>
      <w:r>
        <w:rPr>
          <w:rFonts w:ascii="Times New Roman" w:hAnsi="Times New Roman" w:cs="Times New Roman"/>
          <w:i/>
          <w:sz w:val="24"/>
          <w:szCs w:val="24"/>
        </w:rPr>
        <w:t>“zelar pela observância do art. 37 e apreciar, de ofício ou mediante provocação, a legalidade dos atos administrativos praticados por membros ou órgãos do Ministério Público da União e dos Estados, podendo desconstituí-los, revê-los ou fixar prazo para que se adotem as providências necessárias ao exato cumprimento da lei, sem prejuízo dos Tribunais de Contas”.</w:t>
      </w:r>
    </w:p>
    <w:p w:rsidR="009428E8" w:rsidRDefault="00F64970" w:rsidP="009C6D50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sentido, quanto às atribuições institucionais do Ministério Público definidas na legislação esparsa, </w:t>
      </w:r>
      <w:r w:rsidR="009428E8">
        <w:rPr>
          <w:rFonts w:ascii="Times New Roman" w:hAnsi="Times New Roman" w:cs="Times New Roman"/>
          <w:sz w:val="24"/>
          <w:szCs w:val="24"/>
        </w:rPr>
        <w:t xml:space="preserve">o artigo 26, III, da Lei nº 11.340, de 7 de agosto de 2006, dispõe que compete ao Ministério Público </w:t>
      </w:r>
      <w:r w:rsidR="009428E8">
        <w:rPr>
          <w:rFonts w:ascii="Times New Roman" w:hAnsi="Times New Roman" w:cs="Times New Roman"/>
          <w:i/>
          <w:sz w:val="24"/>
          <w:szCs w:val="24"/>
        </w:rPr>
        <w:t>“cadastrar os casos de violência doméstica e familiar contra a mulher”.</w:t>
      </w:r>
    </w:p>
    <w:p w:rsidR="00F64970" w:rsidRDefault="00694263" w:rsidP="009C6D50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</w:t>
      </w:r>
      <w:r w:rsidR="009428E8">
        <w:rPr>
          <w:rFonts w:ascii="Times New Roman" w:hAnsi="Times New Roman" w:cs="Times New Roman"/>
          <w:sz w:val="24"/>
          <w:szCs w:val="24"/>
        </w:rPr>
        <w:t xml:space="preserve"> conferir efetividade a esta </w:t>
      </w:r>
      <w:r w:rsidR="00213EA3">
        <w:rPr>
          <w:rFonts w:ascii="Times New Roman" w:hAnsi="Times New Roman" w:cs="Times New Roman"/>
          <w:sz w:val="24"/>
          <w:szCs w:val="24"/>
        </w:rPr>
        <w:t>determinação</w:t>
      </w:r>
      <w:r>
        <w:rPr>
          <w:rFonts w:ascii="Times New Roman" w:hAnsi="Times New Roman" w:cs="Times New Roman"/>
          <w:sz w:val="24"/>
          <w:szCs w:val="24"/>
        </w:rPr>
        <w:t xml:space="preserve"> legal</w:t>
      </w:r>
      <w:r w:rsidR="009428E8">
        <w:rPr>
          <w:rFonts w:ascii="Times New Roman" w:hAnsi="Times New Roman" w:cs="Times New Roman"/>
          <w:sz w:val="24"/>
          <w:szCs w:val="24"/>
        </w:rPr>
        <w:t>, o Conselho Nacional do Ministério Público, através da Resolução nº 135, de 26 de janeiro de 2016, institui</w:t>
      </w:r>
      <w:r>
        <w:rPr>
          <w:rFonts w:ascii="Times New Roman" w:hAnsi="Times New Roman" w:cs="Times New Roman"/>
          <w:sz w:val="24"/>
          <w:szCs w:val="24"/>
        </w:rPr>
        <w:t>u</w:t>
      </w:r>
      <w:r w:rsidR="009428E8">
        <w:rPr>
          <w:rFonts w:ascii="Times New Roman" w:hAnsi="Times New Roman" w:cs="Times New Roman"/>
          <w:sz w:val="24"/>
          <w:szCs w:val="24"/>
        </w:rPr>
        <w:t xml:space="preserve"> o “</w:t>
      </w:r>
      <w:r w:rsidR="009428E8" w:rsidRPr="009428E8">
        <w:rPr>
          <w:rFonts w:ascii="Times New Roman" w:hAnsi="Times New Roman" w:cs="Times New Roman"/>
          <w:i/>
          <w:sz w:val="24"/>
          <w:szCs w:val="24"/>
        </w:rPr>
        <w:t xml:space="preserve">Cadastro Nacional de </w:t>
      </w:r>
      <w:r w:rsidR="009428E8">
        <w:rPr>
          <w:rFonts w:ascii="Times New Roman" w:hAnsi="Times New Roman" w:cs="Times New Roman"/>
          <w:i/>
          <w:sz w:val="24"/>
          <w:szCs w:val="24"/>
        </w:rPr>
        <w:t>C</w:t>
      </w:r>
      <w:r w:rsidR="009428E8" w:rsidRPr="009428E8">
        <w:rPr>
          <w:rFonts w:ascii="Times New Roman" w:hAnsi="Times New Roman" w:cs="Times New Roman"/>
          <w:i/>
          <w:sz w:val="24"/>
          <w:szCs w:val="24"/>
        </w:rPr>
        <w:t>asos de Violência Doméstica e Familiar contra a Mulher</w:t>
      </w:r>
      <w:r w:rsidR="009428E8">
        <w:rPr>
          <w:rFonts w:ascii="Times New Roman" w:hAnsi="Times New Roman" w:cs="Times New Roman"/>
          <w:i/>
          <w:sz w:val="24"/>
          <w:szCs w:val="24"/>
        </w:rPr>
        <w:t>”</w:t>
      </w:r>
      <w:r w:rsidR="009428E8" w:rsidRPr="009428E8">
        <w:rPr>
          <w:rFonts w:ascii="Times New Roman" w:hAnsi="Times New Roman" w:cs="Times New Roman"/>
          <w:i/>
          <w:sz w:val="24"/>
          <w:szCs w:val="24"/>
        </w:rPr>
        <w:t>.</w:t>
      </w:r>
    </w:p>
    <w:p w:rsidR="00F64970" w:rsidRDefault="009428E8" w:rsidP="009C6D50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meio de referido cadastro, disciplina-se, de forma pormenorizada, um programa de banco de dados, de abrangência nacional, para cumprimento do determinado no art. 26, inciso III, da Lei nº 11.340/2006. Como sistemática, tem-se que deverão ser alimentados no sistema todos os processos em que haja a aplicação da Lei nº 11.340/2006, inclusive os casos de feminicídio em contexto de violência doméstica contra a mulher (CP, art. 121, § 2º, c/c § 2º-A, inciso I).</w:t>
      </w:r>
    </w:p>
    <w:p w:rsidR="009428E8" w:rsidRDefault="00213EA3" w:rsidP="009C6D50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contexto, ficou definido que os Ministérios Públicos realizariam a alimentação do </w:t>
      </w:r>
      <w:r w:rsidR="0069304E">
        <w:rPr>
          <w:rFonts w:ascii="Times New Roman" w:hAnsi="Times New Roman" w:cs="Times New Roman"/>
          <w:sz w:val="24"/>
          <w:szCs w:val="24"/>
        </w:rPr>
        <w:t>banco de dados</w:t>
      </w:r>
      <w:r>
        <w:rPr>
          <w:rFonts w:ascii="Times New Roman" w:hAnsi="Times New Roman" w:cs="Times New Roman"/>
          <w:sz w:val="24"/>
          <w:szCs w:val="24"/>
        </w:rPr>
        <w:t xml:space="preserve">, incumbindo-lhes, ainda, a fiscalização da atuação policial para o adequado </w:t>
      </w:r>
      <w:r w:rsidR="00995077">
        <w:rPr>
          <w:rFonts w:ascii="Times New Roman" w:hAnsi="Times New Roman" w:cs="Times New Roman"/>
          <w:sz w:val="24"/>
          <w:szCs w:val="24"/>
        </w:rPr>
        <w:t>preenchimento dos campos constantes da taxonomia do cadastro nacional (Art. 3º da Resolução nº 135/2016).</w:t>
      </w:r>
    </w:p>
    <w:p w:rsidR="0069304E" w:rsidRDefault="0069304E" w:rsidP="009C6D50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Ocorre que</w:t>
      </w:r>
      <w:r w:rsidR="005A7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até o presente momento, desde a implantação do sistema, já foram detectadas várias situações em que</w:t>
      </w:r>
      <w:r w:rsidR="003A370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alimentação do cadastro </w:t>
      </w:r>
      <w:r w:rsidR="003A3705">
        <w:rPr>
          <w:rFonts w:ascii="Times New Roman" w:hAnsi="Times New Roman" w:cs="Times New Roman"/>
          <w:sz w:val="24"/>
          <w:szCs w:val="24"/>
        </w:rPr>
        <w:t>foi</w:t>
      </w:r>
      <w:r>
        <w:rPr>
          <w:rFonts w:ascii="Times New Roman" w:hAnsi="Times New Roman" w:cs="Times New Roman"/>
          <w:sz w:val="24"/>
          <w:szCs w:val="24"/>
        </w:rPr>
        <w:t xml:space="preserve"> realizada de forma deficiente, </w:t>
      </w:r>
      <w:r w:rsidR="004A0B80">
        <w:rPr>
          <w:rFonts w:ascii="Times New Roman" w:hAnsi="Times New Roman" w:cs="Times New Roman"/>
          <w:sz w:val="24"/>
          <w:szCs w:val="24"/>
        </w:rPr>
        <w:t xml:space="preserve">com </w:t>
      </w:r>
      <w:r w:rsidR="005A73E2">
        <w:rPr>
          <w:rFonts w:ascii="Times New Roman" w:hAnsi="Times New Roman" w:cs="Times New Roman"/>
          <w:sz w:val="24"/>
          <w:szCs w:val="24"/>
        </w:rPr>
        <w:t xml:space="preserve">o </w:t>
      </w:r>
      <w:r w:rsidR="004A0B80">
        <w:rPr>
          <w:rFonts w:ascii="Times New Roman" w:hAnsi="Times New Roman" w:cs="Times New Roman"/>
          <w:sz w:val="24"/>
          <w:szCs w:val="24"/>
        </w:rPr>
        <w:t xml:space="preserve">preenchimento dos </w:t>
      </w:r>
      <w:r w:rsidR="004A0B80">
        <w:rPr>
          <w:rFonts w:ascii="Times New Roman" w:hAnsi="Times New Roman" w:cs="Times New Roman"/>
          <w:sz w:val="24"/>
          <w:szCs w:val="24"/>
        </w:rPr>
        <w:lastRenderedPageBreak/>
        <w:t xml:space="preserve">campos da taxonomia do cadastro em percentuais inferiores aos </w:t>
      </w:r>
      <w:r w:rsidR="00464F97">
        <w:rPr>
          <w:rFonts w:ascii="Times New Roman" w:hAnsi="Times New Roman" w:cs="Times New Roman"/>
          <w:sz w:val="24"/>
          <w:szCs w:val="24"/>
        </w:rPr>
        <w:t>estabelecidos</w:t>
      </w:r>
      <w:r w:rsidR="004A0B80">
        <w:rPr>
          <w:rFonts w:ascii="Times New Roman" w:hAnsi="Times New Roman" w:cs="Times New Roman"/>
          <w:sz w:val="24"/>
          <w:szCs w:val="24"/>
        </w:rPr>
        <w:t xml:space="preserve"> pela Comissão de Defesa dos Direitos Fundamentais – CDDF, responsável por coordenar e gerir o banco de dados.</w:t>
      </w:r>
    </w:p>
    <w:p w:rsidR="001A2235" w:rsidRDefault="003A3705" w:rsidP="009C6D50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quadro, faz-se necessário que o Conselho Nacional do Ministério Público adote medidas e estratégias que tenham por escopo precípuo a estabilização do sistema de dados, </w:t>
      </w:r>
      <w:r w:rsidR="001A2235">
        <w:rPr>
          <w:rFonts w:ascii="Times New Roman" w:hAnsi="Times New Roman" w:cs="Times New Roman"/>
          <w:sz w:val="24"/>
          <w:szCs w:val="24"/>
        </w:rPr>
        <w:t>no que diz respeito a um satisfatório e eficiente preenchimento dos campos da taxonomia, no intuito de que os comandos constitucionais e legais (Lei nº 11.340/2006)</w:t>
      </w:r>
      <w:r w:rsidR="00694263">
        <w:rPr>
          <w:rFonts w:ascii="Times New Roman" w:hAnsi="Times New Roman" w:cs="Times New Roman"/>
          <w:sz w:val="24"/>
          <w:szCs w:val="24"/>
        </w:rPr>
        <w:t>,</w:t>
      </w:r>
      <w:r w:rsidR="001A2235">
        <w:rPr>
          <w:rFonts w:ascii="Times New Roman" w:hAnsi="Times New Roman" w:cs="Times New Roman"/>
          <w:sz w:val="24"/>
          <w:szCs w:val="24"/>
        </w:rPr>
        <w:t xml:space="preserve"> em relação às funções institucionais do Ministério Público</w:t>
      </w:r>
      <w:r w:rsidR="00694263">
        <w:rPr>
          <w:rFonts w:ascii="Times New Roman" w:hAnsi="Times New Roman" w:cs="Times New Roman"/>
          <w:sz w:val="24"/>
          <w:szCs w:val="24"/>
        </w:rPr>
        <w:t>,</w:t>
      </w:r>
      <w:r w:rsidR="001A2235">
        <w:rPr>
          <w:rFonts w:ascii="Times New Roman" w:hAnsi="Times New Roman" w:cs="Times New Roman"/>
          <w:sz w:val="24"/>
          <w:szCs w:val="24"/>
        </w:rPr>
        <w:t xml:space="preserve"> sejam detidamente cumpridos.</w:t>
      </w:r>
    </w:p>
    <w:p w:rsidR="005A577A" w:rsidRPr="005A577A" w:rsidRDefault="005A577A" w:rsidP="009C6D50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efeito, são duas as medidas que se revelam convenientes e oportunas para aperfeiçoamento do cadastro.</w:t>
      </w:r>
    </w:p>
    <w:p w:rsidR="00464F97" w:rsidRDefault="005A577A" w:rsidP="009C6D50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primeira, no sentido de que</w:t>
      </w:r>
      <w:r w:rsidR="00464F97">
        <w:rPr>
          <w:rFonts w:ascii="Times New Roman" w:hAnsi="Times New Roman" w:cs="Times New Roman"/>
          <w:sz w:val="24"/>
          <w:szCs w:val="24"/>
        </w:rPr>
        <w:t>, em casos de preenchimento indevido e/ou incompleto pelos membros dos Ministérios Públicos locais, no que se refere aos campos de taxonomia do Cadastro Nacional de Violência Doméstica, compete aos Corregedores-Gerais a adoção de providências pertinentes para a correção das informações junto aos respectivos agentes ministeriais.</w:t>
      </w:r>
    </w:p>
    <w:p w:rsidR="005A577A" w:rsidRDefault="005A577A" w:rsidP="009C6D50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Referida providência se justifica</w:t>
      </w:r>
      <w:r w:rsidR="005A73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medida em que os dados são alimentados de forma pulverizada por membros ministeriais de todo o território nacional, de modo que</w:t>
      </w:r>
      <w:r w:rsidR="002E33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essa</w:t>
      </w:r>
      <w:r w:rsidR="00694263">
        <w:rPr>
          <w:rFonts w:ascii="Times New Roman" w:hAnsi="Times New Roman" w:cs="Times New Roman"/>
          <w:sz w:val="24"/>
          <w:szCs w:val="24"/>
        </w:rPr>
        <w:t xml:space="preserve"> nova</w:t>
      </w:r>
      <w:r>
        <w:rPr>
          <w:rFonts w:ascii="Times New Roman" w:hAnsi="Times New Roman" w:cs="Times New Roman"/>
          <w:sz w:val="24"/>
          <w:szCs w:val="24"/>
        </w:rPr>
        <w:t xml:space="preserve"> sistemática</w:t>
      </w:r>
      <w:r w:rsidR="002E33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autoridade máxima correicional local, mais próxima a esses membros, terá condições de supervisionar o cumprimento dos deveres funcionais desses agentes, em um primeiro momento.</w:t>
      </w:r>
    </w:p>
    <w:p w:rsidR="0000224E" w:rsidRDefault="0000224E" w:rsidP="009C6D50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segunda precaução a ser adotada diz respeito à inclusão, na Resolução nº 135/2016, de parágrafo que disponha que </w:t>
      </w:r>
      <w:r w:rsidR="00694263">
        <w:rPr>
          <w:rFonts w:ascii="Times New Roman" w:hAnsi="Times New Roman" w:cs="Times New Roman"/>
          <w:sz w:val="24"/>
          <w:szCs w:val="24"/>
        </w:rPr>
        <w:t>o</w:t>
      </w:r>
      <w:r w:rsidR="009E4FBE">
        <w:rPr>
          <w:rFonts w:ascii="Times New Roman" w:hAnsi="Times New Roman" w:cs="Times New Roman"/>
          <w:sz w:val="24"/>
          <w:szCs w:val="24"/>
        </w:rPr>
        <w:t>s</w:t>
      </w:r>
      <w:r w:rsidR="00694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preenchimento</w:t>
      </w:r>
      <w:r w:rsidR="009E4F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das informações em percentua</w:t>
      </w:r>
      <w:r w:rsidR="0069426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inferior</w:t>
      </w:r>
      <w:r w:rsidR="00694263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ao</w:t>
      </w:r>
      <w:r w:rsidR="00464F97">
        <w:rPr>
          <w:rFonts w:ascii="Times New Roman" w:hAnsi="Times New Roman" w:cs="Times New Roman"/>
          <w:sz w:val="24"/>
          <w:szCs w:val="24"/>
        </w:rPr>
        <w:t xml:space="preserve">s estabelecidos </w:t>
      </w:r>
      <w:r>
        <w:rPr>
          <w:rFonts w:ascii="Times New Roman" w:hAnsi="Times New Roman" w:cs="Times New Roman"/>
          <w:sz w:val="24"/>
          <w:szCs w:val="24"/>
        </w:rPr>
        <w:t xml:space="preserve">pela Comissão de Defesa de Direitos Fundamentais – CDDF, constantes da respectiva Tabela da Taxonomia do Cadastro Nacional de Violência Doméstica, </w:t>
      </w:r>
      <w:r w:rsidRPr="0000224E">
        <w:rPr>
          <w:rFonts w:ascii="Times New Roman" w:hAnsi="Times New Roman" w:cs="Times New Roman"/>
          <w:b/>
          <w:sz w:val="24"/>
          <w:szCs w:val="24"/>
        </w:rPr>
        <w:t>de forma injustificada</w:t>
      </w:r>
      <w:r>
        <w:rPr>
          <w:rFonts w:ascii="Times New Roman" w:hAnsi="Times New Roman" w:cs="Times New Roman"/>
          <w:sz w:val="24"/>
          <w:szCs w:val="24"/>
        </w:rPr>
        <w:t xml:space="preserve">, poderá ensejar, no âmbito deste Conselho Nacional, a instauração de procedimento administrativo de Representação por Inércia ou Excesso de Prazo - RIEP em relação ao membro ministerial responsável pelo envio das informações </w:t>
      </w:r>
      <w:r w:rsidR="00464F97">
        <w:rPr>
          <w:rFonts w:ascii="Times New Roman" w:hAnsi="Times New Roman" w:cs="Times New Roman"/>
          <w:sz w:val="24"/>
          <w:szCs w:val="24"/>
        </w:rPr>
        <w:t>ou em relação ao Corregedor-Geral local que não adotar as providências cabíveis e ao alcance para a correção das informações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F48" w:rsidRDefault="00252B80" w:rsidP="00107154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</w:t>
      </w:r>
      <w:r w:rsidR="00107154">
        <w:rPr>
          <w:rFonts w:ascii="Times New Roman" w:hAnsi="Times New Roman" w:cs="Times New Roman"/>
          <w:sz w:val="24"/>
          <w:szCs w:val="24"/>
        </w:rPr>
        <w:t xml:space="preserve">entendo que a minuta </w:t>
      </w:r>
      <w:r w:rsidR="00DA0F48">
        <w:rPr>
          <w:rFonts w:ascii="Times New Roman" w:hAnsi="Times New Roman" w:cs="Times New Roman"/>
          <w:sz w:val="24"/>
          <w:szCs w:val="24"/>
        </w:rPr>
        <w:t>elaborada se reveste de importância para o</w:t>
      </w:r>
      <w:r w:rsidR="003E2AC0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sempenho das atividades do </w:t>
      </w:r>
      <w:r w:rsidR="00107154">
        <w:rPr>
          <w:rFonts w:ascii="Times New Roman" w:hAnsi="Times New Roman" w:cs="Times New Roman"/>
          <w:sz w:val="24"/>
          <w:szCs w:val="24"/>
        </w:rPr>
        <w:t>Ministério Público brasileiro</w:t>
      </w:r>
      <w:r w:rsidR="00D42ED1">
        <w:rPr>
          <w:rFonts w:ascii="Times New Roman" w:hAnsi="Times New Roman" w:cs="Times New Roman"/>
          <w:sz w:val="24"/>
          <w:szCs w:val="24"/>
        </w:rPr>
        <w:t xml:space="preserve">, razão pela qual submeto a presente proposta de Resolução ao egrégio </w:t>
      </w:r>
      <w:r w:rsidR="00F171A3">
        <w:rPr>
          <w:rFonts w:ascii="Times New Roman" w:hAnsi="Times New Roman" w:cs="Times New Roman"/>
          <w:sz w:val="24"/>
          <w:szCs w:val="24"/>
        </w:rPr>
        <w:t>P</w:t>
      </w:r>
      <w:r w:rsidR="00D42ED1">
        <w:rPr>
          <w:rFonts w:ascii="Times New Roman" w:hAnsi="Times New Roman" w:cs="Times New Roman"/>
          <w:sz w:val="24"/>
          <w:szCs w:val="24"/>
        </w:rPr>
        <w:t>lenário.</w:t>
      </w:r>
    </w:p>
    <w:p w:rsidR="00177C02" w:rsidRDefault="00C74F72" w:rsidP="00177C02">
      <w:pPr>
        <w:spacing w:after="120" w:line="360" w:lineRule="auto"/>
        <w:ind w:firstLine="17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Brasília/DF, </w:t>
      </w:r>
      <w:r w:rsidR="00275CC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05931">
        <w:rPr>
          <w:rFonts w:ascii="Times New Roman" w:hAnsi="Times New Roman" w:cs="Times New Roman"/>
          <w:sz w:val="24"/>
          <w:szCs w:val="24"/>
        </w:rPr>
        <w:t>ma</w:t>
      </w:r>
      <w:r w:rsidR="00D42E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de 201</w:t>
      </w:r>
      <w:r w:rsidR="001071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F72" w:rsidRDefault="00C74F72" w:rsidP="00177C02">
      <w:pPr>
        <w:spacing w:after="120" w:line="360" w:lineRule="auto"/>
        <w:ind w:firstLine="172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VALTER SHUENQUENER DE ARAÚJO</w:t>
      </w:r>
    </w:p>
    <w:p w:rsidR="00C74F72" w:rsidRDefault="00C74F72" w:rsidP="00C74F72">
      <w:pPr>
        <w:tabs>
          <w:tab w:val="left" w:pos="1460"/>
        </w:tabs>
        <w:spacing w:after="120" w:line="276" w:lineRule="auto"/>
        <w:ind w:hanging="13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Conselheiro</w:t>
      </w: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C02" w:rsidRDefault="00177C02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C02" w:rsidRDefault="00177C02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C02" w:rsidRDefault="00177C02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263" w:rsidRDefault="00694263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F72" w:rsidRDefault="00107154" w:rsidP="00C74F7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PROP</w:t>
      </w:r>
      <w:r w:rsidR="00AF3921"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 xml:space="preserve">TA </w:t>
      </w:r>
      <w:r w:rsidR="0093757A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A86C95">
        <w:rPr>
          <w:rFonts w:ascii="Times New Roman" w:hAnsi="Times New Roman" w:cs="Times New Roman"/>
          <w:b/>
          <w:sz w:val="24"/>
          <w:szCs w:val="24"/>
        </w:rPr>
        <w:t xml:space="preserve">ALTERAÇÃO </w:t>
      </w:r>
      <w:r w:rsidR="00485D58">
        <w:rPr>
          <w:rFonts w:ascii="Times New Roman" w:hAnsi="Times New Roman" w:cs="Times New Roman"/>
          <w:b/>
          <w:sz w:val="24"/>
          <w:szCs w:val="24"/>
        </w:rPr>
        <w:t>RE</w:t>
      </w:r>
      <w:r w:rsidR="0093757A">
        <w:rPr>
          <w:rFonts w:ascii="Times New Roman" w:hAnsi="Times New Roman" w:cs="Times New Roman"/>
          <w:b/>
          <w:sz w:val="24"/>
          <w:szCs w:val="24"/>
        </w:rPr>
        <w:t xml:space="preserve">SOLUÇÃO </w:t>
      </w:r>
      <w:r w:rsidR="00C74F72">
        <w:rPr>
          <w:rFonts w:ascii="Times New Roman" w:hAnsi="Times New Roman" w:cs="Times New Roman"/>
          <w:b/>
          <w:sz w:val="24"/>
          <w:szCs w:val="24"/>
        </w:rPr>
        <w:t>nº __, de ___de_________de 201</w:t>
      </w:r>
      <w:r w:rsidR="00DE2A74">
        <w:rPr>
          <w:rFonts w:ascii="Times New Roman" w:hAnsi="Times New Roman" w:cs="Times New Roman"/>
          <w:b/>
          <w:sz w:val="24"/>
          <w:szCs w:val="24"/>
        </w:rPr>
        <w:t>8</w:t>
      </w:r>
      <w:r w:rsidR="00C74F72">
        <w:rPr>
          <w:rFonts w:ascii="Times New Roman" w:hAnsi="Times New Roman" w:cs="Times New Roman"/>
          <w:b/>
          <w:sz w:val="24"/>
          <w:szCs w:val="24"/>
        </w:rPr>
        <w:t>.</w:t>
      </w:r>
    </w:p>
    <w:p w:rsidR="00AF3921" w:rsidRPr="004E7674" w:rsidRDefault="00AF3921" w:rsidP="00AF3921">
      <w:pPr>
        <w:tabs>
          <w:tab w:val="left" w:pos="1460"/>
        </w:tabs>
        <w:spacing w:after="120" w:line="360" w:lineRule="auto"/>
        <w:ind w:left="3686"/>
        <w:jc w:val="both"/>
        <w:rPr>
          <w:rFonts w:ascii="Times New Roman" w:hAnsi="Times New Roman" w:cs="Times New Roman"/>
        </w:rPr>
      </w:pPr>
      <w:r w:rsidRPr="004E7674">
        <w:rPr>
          <w:rFonts w:ascii="Times New Roman" w:hAnsi="Times New Roman" w:cs="Times New Roman"/>
        </w:rPr>
        <w:t>Insere os parágrafos 4º, 5º e 6º no art. 2º da Resolução nº 135, de 26 de janeiro de 2016, para dis</w:t>
      </w:r>
      <w:r w:rsidR="004E7674" w:rsidRPr="004E7674">
        <w:rPr>
          <w:rFonts w:ascii="Times New Roman" w:hAnsi="Times New Roman" w:cs="Times New Roman"/>
        </w:rPr>
        <w:t>por sobre o preenchimento dos campos de taxonomia do Cadastro Nacional de Violência Doméstica – CNVD.</w:t>
      </w:r>
    </w:p>
    <w:p w:rsidR="00C74F72" w:rsidRDefault="00C74F72" w:rsidP="00C74F72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CONSELHO NACIONAL DO MINISTÉRIO PÚBLICO, </w:t>
      </w:r>
      <w:r>
        <w:rPr>
          <w:rFonts w:ascii="Times New Roman" w:hAnsi="Times New Roman" w:cs="Times New Roman"/>
          <w:sz w:val="24"/>
          <w:szCs w:val="24"/>
        </w:rPr>
        <w:t xml:space="preserve">no exercício das atribuições conferidas pelo artigo 130-A, § 2º, inciso I, da Constituição Federal e pelos artigos 147 e seguintes de seu Regimento Interno, em conformidade com a decisão Plenária tomada na </w:t>
      </w:r>
      <w:r w:rsidR="003E2A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ª Sessão Ordinária, realizada em </w:t>
      </w:r>
      <w:r w:rsidR="003E2AC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E2AC0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</w:t>
      </w:r>
      <w:r w:rsidR="00934F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53A" w:rsidRDefault="0093757A" w:rsidP="0093757A">
      <w:pPr>
        <w:tabs>
          <w:tab w:val="left" w:pos="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937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151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 w:rsidR="0068253A">
        <w:rPr>
          <w:rFonts w:ascii="Times New Roman" w:hAnsi="Times New Roman" w:cs="Times New Roman"/>
          <w:bCs/>
          <w:sz w:val="24"/>
          <w:szCs w:val="24"/>
        </w:rPr>
        <w:t xml:space="preserve">a Constituição </w:t>
      </w:r>
      <w:r w:rsidR="005A73E2">
        <w:rPr>
          <w:rFonts w:ascii="Times New Roman" w:hAnsi="Times New Roman" w:cs="Times New Roman"/>
          <w:bCs/>
          <w:sz w:val="24"/>
          <w:szCs w:val="24"/>
        </w:rPr>
        <w:t>da República</w:t>
      </w:r>
      <w:r w:rsidR="0068253A">
        <w:rPr>
          <w:rFonts w:ascii="Times New Roman" w:hAnsi="Times New Roman" w:cs="Times New Roman"/>
          <w:bCs/>
          <w:sz w:val="24"/>
          <w:szCs w:val="24"/>
        </w:rPr>
        <w:t xml:space="preserve"> atribuiu ao Conselho Nacional do Ministério Público competência para o controle da atuação financeira e administrativa do Ministério Público e do cumprimento dos deveres funcionais de seus membros (art. 130-A, § 2º da CF);</w:t>
      </w:r>
    </w:p>
    <w:p w:rsidR="0068253A" w:rsidRDefault="00846686" w:rsidP="00846686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668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68253A">
        <w:rPr>
          <w:rFonts w:ascii="Times New Roman" w:hAnsi="Times New Roman" w:cs="Times New Roman"/>
          <w:sz w:val="24"/>
          <w:szCs w:val="24"/>
        </w:rPr>
        <w:t>compete ao Conselho Nacional do Ministério Público apreciar a legalidade dos atos administrativos praticados por membros ou órgãos do Ministério Público da União e dos Estados, no escopo de que sejam adotadas providências para o exato cumprimento da lei (art. 130-A, § 2º, inciso II, da CF);</w:t>
      </w:r>
    </w:p>
    <w:p w:rsidR="0068253A" w:rsidRDefault="00846686" w:rsidP="00846686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68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68253A">
        <w:rPr>
          <w:rFonts w:ascii="Times New Roman" w:hAnsi="Times New Roman" w:cs="Times New Roman"/>
          <w:sz w:val="24"/>
          <w:szCs w:val="24"/>
        </w:rPr>
        <w:t xml:space="preserve"> </w:t>
      </w:r>
      <w:r w:rsidR="00320B8F">
        <w:rPr>
          <w:rFonts w:ascii="Times New Roman" w:hAnsi="Times New Roman" w:cs="Times New Roman"/>
          <w:sz w:val="24"/>
          <w:szCs w:val="24"/>
        </w:rPr>
        <w:t xml:space="preserve">a Lei nº 11.340/2006, de 7 de agosto de 2006, define como função institucional do Ministério Público </w:t>
      </w:r>
      <w:r w:rsidR="00320B8F">
        <w:rPr>
          <w:rFonts w:ascii="Times New Roman" w:hAnsi="Times New Roman" w:cs="Times New Roman"/>
          <w:i/>
          <w:sz w:val="24"/>
          <w:szCs w:val="24"/>
        </w:rPr>
        <w:t>“cadastrar os casos de violência doméstica e familiar contra a mulher”;</w:t>
      </w:r>
    </w:p>
    <w:p w:rsidR="00320B8F" w:rsidRDefault="00846686" w:rsidP="004235D7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686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320B8F">
        <w:rPr>
          <w:rFonts w:ascii="Times New Roman" w:hAnsi="Times New Roman" w:cs="Times New Roman"/>
          <w:sz w:val="24"/>
          <w:szCs w:val="24"/>
        </w:rPr>
        <w:t xml:space="preserve">, para cumprimento do que determinado na Lei Maria da Penha, o Conselho Nacional do Ministério Público editou a Resolução nº 135, de 26 de janeiro de 2016, instituindo o </w:t>
      </w:r>
      <w:r w:rsidR="00320B8F">
        <w:rPr>
          <w:rFonts w:ascii="Times New Roman" w:hAnsi="Times New Roman" w:cs="Times New Roman"/>
          <w:i/>
          <w:sz w:val="24"/>
          <w:szCs w:val="24"/>
        </w:rPr>
        <w:t>“Cadastro Nacional de Casos de Violência Doméstica e Familiar contra a Mulher”;</w:t>
      </w:r>
    </w:p>
    <w:p w:rsidR="006B7BA5" w:rsidRDefault="00320B8F" w:rsidP="004235D7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20B8F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6B7BA5">
        <w:rPr>
          <w:rFonts w:ascii="Times New Roman" w:hAnsi="Times New Roman" w:cs="Times New Roman"/>
          <w:sz w:val="24"/>
          <w:szCs w:val="24"/>
        </w:rPr>
        <w:t>o referido banco de dados é alimentado pelos membros dos Ministérios Públicos de todo o território nacional, de forma pulverizada, e que, para o correto preenchimento dos dados, também incumbe aos Ministérios Públicos locais a fiscalização da atuação policial para o adequado suplemento dos campos constantes da taxonomia do cadastro nacional;</w:t>
      </w:r>
    </w:p>
    <w:p w:rsidR="006B7BA5" w:rsidRDefault="006B7BA5" w:rsidP="004235D7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7BA5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8E2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após a implantação do sistema, </w:t>
      </w:r>
      <w:r w:rsidR="004D59F2">
        <w:rPr>
          <w:rFonts w:ascii="Times New Roman" w:hAnsi="Times New Roman" w:cs="Times New Roman"/>
          <w:sz w:val="24"/>
          <w:szCs w:val="24"/>
        </w:rPr>
        <w:t>já foram detectadas situações em que a alimentação do cadastro foi efetivada de forma deficiente, com preenchimento</w:t>
      </w:r>
      <w:r w:rsidR="009E4FBE">
        <w:rPr>
          <w:rFonts w:ascii="Times New Roman" w:hAnsi="Times New Roman" w:cs="Times New Roman"/>
          <w:sz w:val="24"/>
          <w:szCs w:val="24"/>
        </w:rPr>
        <w:t>s</w:t>
      </w:r>
      <w:r w:rsidR="004D59F2">
        <w:rPr>
          <w:rFonts w:ascii="Times New Roman" w:hAnsi="Times New Roman" w:cs="Times New Roman"/>
          <w:sz w:val="24"/>
          <w:szCs w:val="24"/>
        </w:rPr>
        <w:t xml:space="preserve"> dos campos da taxonomia do cadastro em percentuais inferiores aos </w:t>
      </w:r>
      <w:r w:rsidR="008E2772">
        <w:rPr>
          <w:rFonts w:ascii="Times New Roman" w:hAnsi="Times New Roman" w:cs="Times New Roman"/>
          <w:sz w:val="24"/>
          <w:szCs w:val="24"/>
        </w:rPr>
        <w:t xml:space="preserve">estabelecidos </w:t>
      </w:r>
      <w:r w:rsidR="004D59F2">
        <w:rPr>
          <w:rFonts w:ascii="Times New Roman" w:hAnsi="Times New Roman" w:cs="Times New Roman"/>
          <w:sz w:val="24"/>
          <w:szCs w:val="24"/>
        </w:rPr>
        <w:t>pela Comissão de Defesa dos Direitos Fundamentais – CDDF, responsável por coordenar e gerir o banco de dados;</w:t>
      </w:r>
    </w:p>
    <w:p w:rsidR="0093757A" w:rsidRPr="0093757A" w:rsidRDefault="004D59F2" w:rsidP="004235D7">
      <w:pPr>
        <w:tabs>
          <w:tab w:val="left" w:pos="146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9F2">
        <w:rPr>
          <w:rFonts w:ascii="Times New Roman" w:hAnsi="Times New Roman" w:cs="Times New Roman"/>
          <w:b/>
          <w:sz w:val="24"/>
          <w:szCs w:val="24"/>
        </w:rPr>
        <w:lastRenderedPageBreak/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que, </w:t>
      </w:r>
      <w:r w:rsidR="00CF0FEA">
        <w:rPr>
          <w:rFonts w:ascii="Times New Roman" w:hAnsi="Times New Roman" w:cs="Times New Roman"/>
          <w:sz w:val="24"/>
          <w:szCs w:val="24"/>
        </w:rPr>
        <w:t>frente ao cenário do preenchimento</w:t>
      </w:r>
      <w:r w:rsidR="009E4FBE">
        <w:rPr>
          <w:rFonts w:ascii="Times New Roman" w:hAnsi="Times New Roman" w:cs="Times New Roman"/>
          <w:sz w:val="24"/>
          <w:szCs w:val="24"/>
        </w:rPr>
        <w:t xml:space="preserve"> </w:t>
      </w:r>
      <w:r w:rsidR="00CF0FEA">
        <w:rPr>
          <w:rFonts w:ascii="Times New Roman" w:hAnsi="Times New Roman" w:cs="Times New Roman"/>
          <w:sz w:val="24"/>
          <w:szCs w:val="24"/>
        </w:rPr>
        <w:t>dos dados, por vezes deficiente, é necessário que o Conselho Nacional do Ministério Público adote estratégia</w:t>
      </w:r>
      <w:r w:rsidR="009E4FBE">
        <w:rPr>
          <w:rFonts w:ascii="Times New Roman" w:hAnsi="Times New Roman" w:cs="Times New Roman"/>
          <w:sz w:val="24"/>
          <w:szCs w:val="24"/>
        </w:rPr>
        <w:t>s</w:t>
      </w:r>
      <w:r w:rsidR="00CF0FEA">
        <w:rPr>
          <w:rFonts w:ascii="Times New Roman" w:hAnsi="Times New Roman" w:cs="Times New Roman"/>
          <w:sz w:val="24"/>
          <w:szCs w:val="24"/>
        </w:rPr>
        <w:t xml:space="preserve"> e sistemáticas que tenham por escopo a adequada estabilização do sistema, no que diz respeito ao correto e satisfatório suplemento dos campos da taxonomia do cadastro, mormente para que os comandos constitucionais e legais (Lei nº 11.340/2006)</w:t>
      </w:r>
      <w:r w:rsidR="009E4FBE">
        <w:rPr>
          <w:rFonts w:ascii="Times New Roman" w:hAnsi="Times New Roman" w:cs="Times New Roman"/>
          <w:sz w:val="24"/>
          <w:szCs w:val="24"/>
        </w:rPr>
        <w:t>,</w:t>
      </w:r>
      <w:r w:rsidR="00CF0FEA">
        <w:rPr>
          <w:rFonts w:ascii="Times New Roman" w:hAnsi="Times New Roman" w:cs="Times New Roman"/>
          <w:sz w:val="24"/>
          <w:szCs w:val="24"/>
        </w:rPr>
        <w:t xml:space="preserve"> no que toca às funções institucionais do Ministério Público</w:t>
      </w:r>
      <w:r w:rsidR="009E4FBE">
        <w:rPr>
          <w:rFonts w:ascii="Times New Roman" w:hAnsi="Times New Roman" w:cs="Times New Roman"/>
          <w:sz w:val="24"/>
          <w:szCs w:val="24"/>
        </w:rPr>
        <w:t>,</w:t>
      </w:r>
      <w:r w:rsidR="00CF0FEA">
        <w:rPr>
          <w:rFonts w:ascii="Times New Roman" w:hAnsi="Times New Roman" w:cs="Times New Roman"/>
          <w:sz w:val="24"/>
          <w:szCs w:val="24"/>
        </w:rPr>
        <w:t xml:space="preserve"> sejam detidamente cumpridos, </w:t>
      </w:r>
      <w:r w:rsidR="0093757A" w:rsidRPr="00934F4B">
        <w:rPr>
          <w:rFonts w:ascii="Times New Roman" w:hAnsi="Times New Roman" w:cs="Times New Roman"/>
          <w:b/>
          <w:sz w:val="24"/>
          <w:szCs w:val="24"/>
        </w:rPr>
        <w:t>RESOLVE</w:t>
      </w:r>
      <w:r w:rsidR="00934F4B" w:rsidRPr="00934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C95">
        <w:rPr>
          <w:rFonts w:ascii="Times New Roman" w:hAnsi="Times New Roman" w:cs="Times New Roman"/>
          <w:b/>
          <w:sz w:val="24"/>
          <w:szCs w:val="24"/>
        </w:rPr>
        <w:t>inserir o</w:t>
      </w:r>
      <w:r w:rsidR="00CF0FEA">
        <w:rPr>
          <w:rFonts w:ascii="Times New Roman" w:hAnsi="Times New Roman" w:cs="Times New Roman"/>
          <w:b/>
          <w:sz w:val="24"/>
          <w:szCs w:val="24"/>
        </w:rPr>
        <w:t>s</w:t>
      </w:r>
      <w:r w:rsidR="00A86C95">
        <w:rPr>
          <w:rFonts w:ascii="Times New Roman" w:hAnsi="Times New Roman" w:cs="Times New Roman"/>
          <w:b/>
          <w:sz w:val="24"/>
          <w:szCs w:val="24"/>
        </w:rPr>
        <w:t xml:space="preserve"> seguinte</w:t>
      </w:r>
      <w:r w:rsidR="00CF0FEA">
        <w:rPr>
          <w:rFonts w:ascii="Times New Roman" w:hAnsi="Times New Roman" w:cs="Times New Roman"/>
          <w:b/>
          <w:sz w:val="24"/>
          <w:szCs w:val="24"/>
        </w:rPr>
        <w:t>s</w:t>
      </w:r>
      <w:r w:rsidR="00A86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FBE">
        <w:rPr>
          <w:rFonts w:ascii="Times New Roman" w:hAnsi="Times New Roman" w:cs="Times New Roman"/>
          <w:b/>
          <w:sz w:val="24"/>
          <w:szCs w:val="24"/>
        </w:rPr>
        <w:t xml:space="preserve">parágrafos </w:t>
      </w:r>
      <w:r w:rsidR="00CF0FEA">
        <w:rPr>
          <w:rFonts w:ascii="Times New Roman" w:hAnsi="Times New Roman" w:cs="Times New Roman"/>
          <w:b/>
          <w:sz w:val="24"/>
          <w:szCs w:val="24"/>
        </w:rPr>
        <w:t>4º</w:t>
      </w:r>
      <w:r w:rsidR="000F6A67">
        <w:rPr>
          <w:rFonts w:ascii="Times New Roman" w:hAnsi="Times New Roman" w:cs="Times New Roman"/>
          <w:b/>
          <w:sz w:val="24"/>
          <w:szCs w:val="24"/>
        </w:rPr>
        <w:t>,</w:t>
      </w:r>
      <w:r w:rsidR="00CF0FEA">
        <w:rPr>
          <w:rFonts w:ascii="Times New Roman" w:hAnsi="Times New Roman" w:cs="Times New Roman"/>
          <w:b/>
          <w:sz w:val="24"/>
          <w:szCs w:val="24"/>
        </w:rPr>
        <w:t xml:space="preserve"> 5º</w:t>
      </w:r>
      <w:r w:rsidR="000F6A67">
        <w:rPr>
          <w:rFonts w:ascii="Times New Roman" w:hAnsi="Times New Roman" w:cs="Times New Roman"/>
          <w:b/>
          <w:sz w:val="24"/>
          <w:szCs w:val="24"/>
        </w:rPr>
        <w:t xml:space="preserve"> e 6º</w:t>
      </w:r>
      <w:r w:rsidR="00CF0FEA">
        <w:rPr>
          <w:rFonts w:ascii="Times New Roman" w:hAnsi="Times New Roman" w:cs="Times New Roman"/>
          <w:b/>
          <w:sz w:val="24"/>
          <w:szCs w:val="24"/>
        </w:rPr>
        <w:t xml:space="preserve"> no art. 2º da Resoluçã</w:t>
      </w:r>
      <w:r w:rsidR="00A86C95">
        <w:rPr>
          <w:rFonts w:ascii="Times New Roman" w:hAnsi="Times New Roman" w:cs="Times New Roman"/>
          <w:b/>
          <w:sz w:val="24"/>
          <w:szCs w:val="24"/>
        </w:rPr>
        <w:t xml:space="preserve">o nº </w:t>
      </w:r>
      <w:r w:rsidR="004235D7">
        <w:rPr>
          <w:rFonts w:ascii="Times New Roman" w:hAnsi="Times New Roman" w:cs="Times New Roman"/>
          <w:b/>
          <w:sz w:val="24"/>
          <w:szCs w:val="24"/>
        </w:rPr>
        <w:t>1</w:t>
      </w:r>
      <w:r w:rsidR="00CF0FEA">
        <w:rPr>
          <w:rFonts w:ascii="Times New Roman" w:hAnsi="Times New Roman" w:cs="Times New Roman"/>
          <w:b/>
          <w:sz w:val="24"/>
          <w:szCs w:val="24"/>
        </w:rPr>
        <w:t>35</w:t>
      </w:r>
      <w:r w:rsidR="00A86C95">
        <w:rPr>
          <w:rFonts w:ascii="Times New Roman" w:hAnsi="Times New Roman" w:cs="Times New Roman"/>
          <w:b/>
          <w:sz w:val="24"/>
          <w:szCs w:val="24"/>
        </w:rPr>
        <w:t>/201</w:t>
      </w:r>
      <w:r w:rsidR="00CF0FEA">
        <w:rPr>
          <w:rFonts w:ascii="Times New Roman" w:hAnsi="Times New Roman" w:cs="Times New Roman"/>
          <w:b/>
          <w:sz w:val="24"/>
          <w:szCs w:val="24"/>
        </w:rPr>
        <w:t>6</w:t>
      </w:r>
      <w:r w:rsidR="00934F4B" w:rsidRPr="00934F4B">
        <w:rPr>
          <w:rFonts w:ascii="Times New Roman" w:hAnsi="Times New Roman" w:cs="Times New Roman"/>
          <w:b/>
          <w:sz w:val="24"/>
          <w:szCs w:val="24"/>
        </w:rPr>
        <w:t>:</w:t>
      </w:r>
    </w:p>
    <w:p w:rsidR="0093757A" w:rsidRDefault="0093757A" w:rsidP="0093757A">
      <w:pPr>
        <w:tabs>
          <w:tab w:val="left" w:pos="0"/>
        </w:tabs>
        <w:spacing w:after="120" w:line="360" w:lineRule="auto"/>
        <w:ind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EA" w:rsidRDefault="00CF0FEA" w:rsidP="00CF0FEA">
      <w:pPr>
        <w:spacing w:after="120" w:line="36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FEA">
        <w:rPr>
          <w:rFonts w:ascii="Times New Roman" w:hAnsi="Times New Roman" w:cs="Times New Roman"/>
          <w:bCs/>
          <w:sz w:val="24"/>
          <w:szCs w:val="24"/>
        </w:rPr>
        <w:t>§ 4º.</w:t>
      </w:r>
      <w:r>
        <w:rPr>
          <w:rFonts w:ascii="Times New Roman" w:hAnsi="Times New Roman" w:cs="Times New Roman"/>
          <w:bCs/>
          <w:sz w:val="24"/>
          <w:szCs w:val="24"/>
        </w:rPr>
        <w:t xml:space="preserve"> Os dados </w:t>
      </w:r>
      <w:r w:rsidR="002E33AA">
        <w:rPr>
          <w:rFonts w:ascii="Times New Roman" w:hAnsi="Times New Roman" w:cs="Times New Roman"/>
          <w:bCs/>
          <w:sz w:val="24"/>
          <w:szCs w:val="24"/>
        </w:rPr>
        <w:t xml:space="preserve">referidos neste artigo </w:t>
      </w:r>
      <w:r>
        <w:rPr>
          <w:rFonts w:ascii="Times New Roman" w:hAnsi="Times New Roman" w:cs="Times New Roman"/>
          <w:bCs/>
          <w:sz w:val="24"/>
          <w:szCs w:val="24"/>
        </w:rPr>
        <w:t xml:space="preserve">deverão ser encaminhados ao Conselho Nacional do Ministério Público </w:t>
      </w:r>
      <w:r w:rsidR="008E2772">
        <w:rPr>
          <w:rFonts w:ascii="Times New Roman" w:hAnsi="Times New Roman" w:cs="Times New Roman"/>
          <w:bCs/>
          <w:sz w:val="24"/>
          <w:szCs w:val="24"/>
        </w:rPr>
        <w:t>com observância dos percentuais mínimos estabelecidos pela Comissão de Defesa dos Direitos Fundamentais do CNMP</w:t>
      </w:r>
      <w:r w:rsidR="000142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A73E2">
        <w:rPr>
          <w:rFonts w:ascii="Times New Roman" w:hAnsi="Times New Roman" w:cs="Times New Roman"/>
          <w:bCs/>
          <w:sz w:val="24"/>
          <w:szCs w:val="24"/>
        </w:rPr>
        <w:t>competindo</w:t>
      </w:r>
      <w:r w:rsidR="000142B8">
        <w:rPr>
          <w:rFonts w:ascii="Times New Roman" w:hAnsi="Times New Roman" w:cs="Times New Roman"/>
          <w:bCs/>
          <w:sz w:val="24"/>
          <w:szCs w:val="24"/>
        </w:rPr>
        <w:t xml:space="preserve"> aos Corregedores-Gerais locais a adoção das providências pertinentes, junto aos respectivos </w:t>
      </w:r>
      <w:r w:rsidR="005A73E2">
        <w:rPr>
          <w:rFonts w:ascii="Times New Roman" w:hAnsi="Times New Roman" w:cs="Times New Roman"/>
          <w:bCs/>
          <w:sz w:val="24"/>
          <w:szCs w:val="24"/>
        </w:rPr>
        <w:t>membros e servidores</w:t>
      </w:r>
      <w:r w:rsidR="000142B8">
        <w:rPr>
          <w:rFonts w:ascii="Times New Roman" w:hAnsi="Times New Roman" w:cs="Times New Roman"/>
          <w:bCs/>
          <w:sz w:val="24"/>
          <w:szCs w:val="24"/>
        </w:rPr>
        <w:t xml:space="preserve"> ministeriais, para a correção</w:t>
      </w:r>
      <w:r w:rsidR="005A73E2">
        <w:rPr>
          <w:rFonts w:ascii="Times New Roman" w:hAnsi="Times New Roman" w:cs="Times New Roman"/>
          <w:bCs/>
          <w:sz w:val="24"/>
          <w:szCs w:val="24"/>
        </w:rPr>
        <w:t xml:space="preserve"> do não envio</w:t>
      </w:r>
      <w:r w:rsidR="000142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3E2">
        <w:rPr>
          <w:rFonts w:ascii="Times New Roman" w:hAnsi="Times New Roman" w:cs="Times New Roman"/>
          <w:bCs/>
          <w:sz w:val="24"/>
          <w:szCs w:val="24"/>
        </w:rPr>
        <w:t xml:space="preserve">ou </w:t>
      </w:r>
      <w:r w:rsidR="000142B8">
        <w:rPr>
          <w:rFonts w:ascii="Times New Roman" w:hAnsi="Times New Roman" w:cs="Times New Roman"/>
          <w:bCs/>
          <w:sz w:val="24"/>
          <w:szCs w:val="24"/>
        </w:rPr>
        <w:t xml:space="preserve">das informações </w:t>
      </w:r>
      <w:r w:rsidR="004E4FD7">
        <w:rPr>
          <w:rFonts w:ascii="Times New Roman" w:hAnsi="Times New Roman" w:cs="Times New Roman"/>
          <w:bCs/>
          <w:sz w:val="24"/>
          <w:szCs w:val="24"/>
        </w:rPr>
        <w:t xml:space="preserve">preenchidas </w:t>
      </w:r>
      <w:r w:rsidR="000142B8">
        <w:rPr>
          <w:rFonts w:ascii="Times New Roman" w:hAnsi="Times New Roman" w:cs="Times New Roman"/>
          <w:bCs/>
          <w:sz w:val="24"/>
          <w:szCs w:val="24"/>
        </w:rPr>
        <w:t xml:space="preserve">em percentuais inferiores aos </w:t>
      </w:r>
      <w:r w:rsidR="004E4FD7">
        <w:rPr>
          <w:rFonts w:ascii="Times New Roman" w:hAnsi="Times New Roman" w:cs="Times New Roman"/>
          <w:bCs/>
          <w:sz w:val="24"/>
          <w:szCs w:val="24"/>
        </w:rPr>
        <w:t>fixados como mínimos</w:t>
      </w:r>
      <w:r w:rsidR="000142B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199F" w:rsidRDefault="00CF0FEA" w:rsidP="00CF0FEA">
      <w:pPr>
        <w:spacing w:after="120" w:line="36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5º. </w:t>
      </w:r>
      <w:r w:rsidR="0040199F">
        <w:rPr>
          <w:rFonts w:ascii="Times New Roman" w:hAnsi="Times New Roman" w:cs="Times New Roman"/>
          <w:bCs/>
          <w:sz w:val="24"/>
          <w:szCs w:val="24"/>
        </w:rPr>
        <w:t>O preenchimento das informações</w:t>
      </w:r>
      <w:r w:rsidR="002E33AA">
        <w:rPr>
          <w:rFonts w:ascii="Times New Roman" w:hAnsi="Times New Roman" w:cs="Times New Roman"/>
          <w:bCs/>
          <w:sz w:val="24"/>
          <w:szCs w:val="24"/>
        </w:rPr>
        <w:t xml:space="preserve"> pelo Ministério Público local</w:t>
      </w:r>
      <w:r w:rsidR="0040199F">
        <w:rPr>
          <w:rFonts w:ascii="Times New Roman" w:hAnsi="Times New Roman" w:cs="Times New Roman"/>
          <w:bCs/>
          <w:sz w:val="24"/>
          <w:szCs w:val="24"/>
        </w:rPr>
        <w:t xml:space="preserve"> em percentuais inferiores aos</w:t>
      </w:r>
      <w:r w:rsidR="002E33AA">
        <w:rPr>
          <w:rFonts w:ascii="Times New Roman" w:hAnsi="Times New Roman" w:cs="Times New Roman"/>
          <w:bCs/>
          <w:sz w:val="24"/>
          <w:szCs w:val="24"/>
        </w:rPr>
        <w:t xml:space="preserve"> que forem estabelecidos pel</w:t>
      </w:r>
      <w:r w:rsidR="000142B8">
        <w:rPr>
          <w:rFonts w:ascii="Times New Roman" w:hAnsi="Times New Roman" w:cs="Times New Roman"/>
          <w:bCs/>
          <w:sz w:val="24"/>
          <w:szCs w:val="24"/>
        </w:rPr>
        <w:t>a</w:t>
      </w:r>
      <w:r w:rsidR="002E33AA">
        <w:rPr>
          <w:rFonts w:ascii="Times New Roman" w:hAnsi="Times New Roman" w:cs="Times New Roman"/>
          <w:bCs/>
          <w:sz w:val="24"/>
          <w:szCs w:val="24"/>
        </w:rPr>
        <w:t xml:space="preserve"> Comissão de Defesa dos Direitos Fundamentais do CNMP </w:t>
      </w:r>
      <w:r w:rsidR="004E4FD7">
        <w:rPr>
          <w:rFonts w:ascii="Times New Roman" w:hAnsi="Times New Roman" w:cs="Times New Roman"/>
          <w:bCs/>
          <w:sz w:val="24"/>
          <w:szCs w:val="24"/>
        </w:rPr>
        <w:t>poderá ensejar</w:t>
      </w:r>
      <w:r w:rsidR="002E33AA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0199F">
        <w:rPr>
          <w:rFonts w:ascii="Times New Roman" w:hAnsi="Times New Roman" w:cs="Times New Roman"/>
          <w:bCs/>
          <w:sz w:val="24"/>
          <w:szCs w:val="24"/>
        </w:rPr>
        <w:t>instauração de procedimento administrativo de Representação por Inércia ou Excesso de Prazo em relação ao membro ministerial responsável pelo envio das informações ao Corregedor-Geral local</w:t>
      </w:r>
      <w:r w:rsidR="002E33AA">
        <w:rPr>
          <w:rFonts w:ascii="Times New Roman" w:hAnsi="Times New Roman" w:cs="Times New Roman"/>
          <w:bCs/>
          <w:sz w:val="24"/>
          <w:szCs w:val="24"/>
        </w:rPr>
        <w:t xml:space="preserve"> ou em relação a este último</w:t>
      </w:r>
      <w:r w:rsidR="000142B8">
        <w:rPr>
          <w:rFonts w:ascii="Times New Roman" w:hAnsi="Times New Roman" w:cs="Times New Roman"/>
          <w:bCs/>
          <w:sz w:val="24"/>
          <w:szCs w:val="24"/>
        </w:rPr>
        <w:t>, no caso de não adotar as providências cabíveis para a correção das informações</w:t>
      </w:r>
      <w:r w:rsidR="0040199F">
        <w:rPr>
          <w:rFonts w:ascii="Times New Roman" w:hAnsi="Times New Roman" w:cs="Times New Roman"/>
          <w:bCs/>
          <w:sz w:val="24"/>
          <w:szCs w:val="24"/>
        </w:rPr>
        <w:t>.</w:t>
      </w:r>
    </w:p>
    <w:p w:rsidR="00CF0FEA" w:rsidRPr="00CF0FEA" w:rsidRDefault="0040199F" w:rsidP="00CF0FEA">
      <w:pPr>
        <w:spacing w:after="120" w:line="36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6º. A instauração da Representação por Inércia ou Excesso de Prazo, na conformidade do parágrafo anterior, poderá se dar de ofício </w:t>
      </w:r>
      <w:r w:rsidR="002E33AA">
        <w:rPr>
          <w:rFonts w:ascii="Times New Roman" w:hAnsi="Times New Roman" w:cs="Times New Roman"/>
          <w:bCs/>
          <w:sz w:val="24"/>
          <w:szCs w:val="24"/>
        </w:rPr>
        <w:t xml:space="preserve">no âmbito do CNMP, </w:t>
      </w:r>
      <w:r>
        <w:rPr>
          <w:rFonts w:ascii="Times New Roman" w:hAnsi="Times New Roman" w:cs="Times New Roman"/>
          <w:bCs/>
          <w:sz w:val="24"/>
          <w:szCs w:val="24"/>
        </w:rPr>
        <w:t>mediante provocação do Corregedor-Geral local ou de qualquer interessado.</w:t>
      </w:r>
    </w:p>
    <w:p w:rsidR="00934F4B" w:rsidRPr="00934F4B" w:rsidRDefault="00934F4B" w:rsidP="0040199F">
      <w:pPr>
        <w:spacing w:after="120" w:line="36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Esta resolução entrará em vigor imediatamente após a sua publicação.</w:t>
      </w:r>
    </w:p>
    <w:p w:rsidR="00C74F72" w:rsidRDefault="00C74F72" w:rsidP="00C74F72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74F72" w:rsidRDefault="00C74F72" w:rsidP="004E7674">
      <w:pPr>
        <w:spacing w:line="360" w:lineRule="auto"/>
        <w:ind w:firstLine="1134"/>
        <w:jc w:val="both"/>
        <w:rPr>
          <w:rFonts w:ascii="Times New Roman" w:eastAsia="Verdan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Brasília, __, de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34F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7DC" w:rsidRDefault="002127DC" w:rsidP="00973FAA">
      <w:pPr>
        <w:jc w:val="center"/>
        <w:rPr>
          <w:rFonts w:ascii="Times New Roman" w:eastAsia="Verdana" w:hAnsi="Times New Roman" w:cs="Times New Roman"/>
          <w:color w:val="000000"/>
          <w:kern w:val="1"/>
          <w:sz w:val="24"/>
          <w:szCs w:val="24"/>
        </w:rPr>
      </w:pPr>
    </w:p>
    <w:sectPr w:rsidR="002127DC" w:rsidSect="00F72670">
      <w:headerReference w:type="default" r:id="rId8"/>
      <w:pgSz w:w="11906" w:h="16838" w:code="9"/>
      <w:pgMar w:top="2268" w:right="567" w:bottom="1418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FC6" w:rsidRDefault="00F32FC6" w:rsidP="00F72670">
      <w:pPr>
        <w:spacing w:after="0" w:line="240" w:lineRule="auto"/>
      </w:pPr>
      <w:r>
        <w:separator/>
      </w:r>
    </w:p>
  </w:endnote>
  <w:endnote w:type="continuationSeparator" w:id="0">
    <w:p w:rsidR="00F32FC6" w:rsidRDefault="00F32FC6" w:rsidP="00F7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FC6" w:rsidRDefault="00F32FC6" w:rsidP="00F72670">
      <w:pPr>
        <w:spacing w:after="0" w:line="240" w:lineRule="auto"/>
      </w:pPr>
      <w:r>
        <w:separator/>
      </w:r>
    </w:p>
  </w:footnote>
  <w:footnote w:type="continuationSeparator" w:id="0">
    <w:p w:rsidR="00F32FC6" w:rsidRDefault="00F32FC6" w:rsidP="00F7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0DA" w:rsidRPr="006009E2" w:rsidRDefault="004D10DA" w:rsidP="004D10DA">
    <w:pPr>
      <w:widowControl w:val="0"/>
      <w:suppressAutoHyphens/>
      <w:spacing w:before="113" w:after="0" w:line="100" w:lineRule="atLeast"/>
      <w:jc w:val="center"/>
      <w:rPr>
        <w:rFonts w:ascii="Times New Roman" w:eastAsia="Tahoma" w:hAnsi="Times New Roman" w:cs="Times New Roman"/>
        <w:bCs/>
        <w:smallCaps/>
        <w:kern w:val="1"/>
        <w:sz w:val="26"/>
        <w:szCs w:val="26"/>
      </w:rPr>
    </w:pPr>
    <w:r w:rsidRPr="006009E2">
      <w:rPr>
        <w:rFonts w:ascii="Times New Roman" w:eastAsia="Lucida Sans Unicode" w:hAnsi="Times New Roman" w:cs="Mangal"/>
        <w:noProof/>
        <w:kern w:val="1"/>
        <w:sz w:val="24"/>
        <w:szCs w:val="24"/>
        <w:lang w:eastAsia="pt-BR"/>
      </w:rPr>
      <w:drawing>
        <wp:anchor distT="0" distB="0" distL="0" distR="0" simplePos="0" relativeHeight="251659264" behindDoc="0" locked="0" layoutInCell="1" allowOverlap="1" wp14:anchorId="1B28EB77" wp14:editId="0BDDFA9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45160" cy="692150"/>
          <wp:effectExtent l="0" t="0" r="254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10DA" w:rsidRPr="006009E2" w:rsidRDefault="004D10DA" w:rsidP="004D10DA">
    <w:pPr>
      <w:widowControl w:val="0"/>
      <w:suppressAutoHyphens/>
      <w:spacing w:before="113" w:after="0" w:line="100" w:lineRule="atLeast"/>
      <w:jc w:val="center"/>
      <w:rPr>
        <w:rFonts w:ascii="Times New Roman" w:eastAsia="Tahoma" w:hAnsi="Times New Roman" w:cs="Times New Roman"/>
        <w:bCs/>
        <w:smallCaps/>
        <w:kern w:val="1"/>
        <w:sz w:val="26"/>
        <w:szCs w:val="26"/>
      </w:rPr>
    </w:pPr>
  </w:p>
  <w:p w:rsidR="004D10DA" w:rsidRPr="006009E2" w:rsidRDefault="004D10DA" w:rsidP="004D10DA">
    <w:pPr>
      <w:widowControl w:val="0"/>
      <w:suppressAutoHyphens/>
      <w:spacing w:before="113" w:after="0" w:line="100" w:lineRule="atLeast"/>
      <w:jc w:val="center"/>
      <w:rPr>
        <w:rFonts w:ascii="Times New Roman" w:eastAsia="Tahoma" w:hAnsi="Times New Roman" w:cs="Times New Roman"/>
        <w:bCs/>
        <w:smallCaps/>
        <w:kern w:val="1"/>
        <w:sz w:val="14"/>
        <w:szCs w:val="14"/>
      </w:rPr>
    </w:pPr>
  </w:p>
  <w:p w:rsidR="004D10DA" w:rsidRPr="006009E2" w:rsidRDefault="004D10DA" w:rsidP="004D10DA">
    <w:pPr>
      <w:widowControl w:val="0"/>
      <w:suppressAutoHyphens/>
      <w:spacing w:before="113" w:after="0" w:line="100" w:lineRule="atLeast"/>
      <w:jc w:val="center"/>
      <w:rPr>
        <w:rFonts w:ascii="Times New Roman" w:eastAsia="Lucida Sans Unicode" w:hAnsi="Times New Roman" w:cs="Mangal"/>
        <w:kern w:val="1"/>
        <w:sz w:val="24"/>
        <w:szCs w:val="24"/>
        <w:lang w:eastAsia="zh-CN" w:bidi="hi-IN"/>
      </w:rPr>
    </w:pPr>
    <w:r w:rsidRPr="006009E2">
      <w:rPr>
        <w:rFonts w:ascii="Times New Roman" w:eastAsia="Tahoma" w:hAnsi="Times New Roman" w:cs="Times New Roman"/>
        <w:bCs/>
        <w:smallCaps/>
        <w:kern w:val="1"/>
        <w:sz w:val="26"/>
        <w:szCs w:val="26"/>
      </w:rPr>
      <w:t>C</w:t>
    </w:r>
    <w:r w:rsidRPr="006009E2">
      <w:rPr>
        <w:rFonts w:ascii="Times New Roman" w:eastAsia="Tahoma" w:hAnsi="Times New Roman" w:cs="Times New Roman"/>
        <w:bCs/>
        <w:smallCaps/>
        <w:kern w:val="1"/>
        <w:sz w:val="24"/>
        <w:szCs w:val="24"/>
      </w:rPr>
      <w:t xml:space="preserve">onselho </w:t>
    </w:r>
    <w:r w:rsidRPr="006009E2">
      <w:rPr>
        <w:rFonts w:ascii="Times New Roman" w:eastAsia="Tahoma" w:hAnsi="Times New Roman" w:cs="Times New Roman"/>
        <w:bCs/>
        <w:smallCaps/>
        <w:kern w:val="1"/>
        <w:sz w:val="26"/>
        <w:szCs w:val="26"/>
      </w:rPr>
      <w:t>N</w:t>
    </w:r>
    <w:r w:rsidRPr="006009E2">
      <w:rPr>
        <w:rFonts w:ascii="Times New Roman" w:eastAsia="Tahoma" w:hAnsi="Times New Roman" w:cs="Times New Roman"/>
        <w:bCs/>
        <w:smallCaps/>
        <w:kern w:val="1"/>
        <w:sz w:val="24"/>
        <w:szCs w:val="24"/>
      </w:rPr>
      <w:t xml:space="preserve">acional do </w:t>
    </w:r>
    <w:r w:rsidRPr="006009E2">
      <w:rPr>
        <w:rFonts w:ascii="Times New Roman" w:eastAsia="Tahoma" w:hAnsi="Times New Roman" w:cs="Times New Roman"/>
        <w:bCs/>
        <w:smallCaps/>
        <w:kern w:val="1"/>
        <w:sz w:val="26"/>
        <w:szCs w:val="26"/>
      </w:rPr>
      <w:t>M</w:t>
    </w:r>
    <w:r w:rsidRPr="006009E2">
      <w:rPr>
        <w:rFonts w:ascii="Times New Roman" w:eastAsia="Tahoma" w:hAnsi="Times New Roman" w:cs="Times New Roman"/>
        <w:bCs/>
        <w:smallCaps/>
        <w:kern w:val="1"/>
        <w:sz w:val="24"/>
        <w:szCs w:val="24"/>
      </w:rPr>
      <w:t>inistério</w:t>
    </w:r>
    <w:r>
      <w:rPr>
        <w:rFonts w:ascii="Times New Roman" w:eastAsia="Tahoma" w:hAnsi="Times New Roman" w:cs="Times New Roman"/>
        <w:bCs/>
        <w:smallCaps/>
        <w:kern w:val="1"/>
        <w:sz w:val="24"/>
        <w:szCs w:val="24"/>
      </w:rPr>
      <w:t xml:space="preserve"> P</w:t>
    </w:r>
    <w:r w:rsidRPr="006009E2">
      <w:rPr>
        <w:rFonts w:ascii="Times New Roman" w:eastAsia="Tahoma" w:hAnsi="Times New Roman" w:cs="Times New Roman"/>
        <w:bCs/>
        <w:smallCaps/>
        <w:kern w:val="1"/>
        <w:sz w:val="24"/>
        <w:szCs w:val="24"/>
      </w:rPr>
      <w:t>úblico</w:t>
    </w:r>
  </w:p>
  <w:p w:rsidR="004D10DA" w:rsidRDefault="004D10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04640"/>
    <w:multiLevelType w:val="hybridMultilevel"/>
    <w:tmpl w:val="A9D6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70"/>
    <w:rsid w:val="0000224E"/>
    <w:rsid w:val="00011151"/>
    <w:rsid w:val="0001379F"/>
    <w:rsid w:val="00013E71"/>
    <w:rsid w:val="000142B8"/>
    <w:rsid w:val="00027552"/>
    <w:rsid w:val="00040451"/>
    <w:rsid w:val="0005652D"/>
    <w:rsid w:val="00060D43"/>
    <w:rsid w:val="0007384E"/>
    <w:rsid w:val="000769AB"/>
    <w:rsid w:val="0008503F"/>
    <w:rsid w:val="00096DA8"/>
    <w:rsid w:val="000A14F1"/>
    <w:rsid w:val="000A38D6"/>
    <w:rsid w:val="000D174A"/>
    <w:rsid w:val="000D1851"/>
    <w:rsid w:val="000D65DE"/>
    <w:rsid w:val="000E5E31"/>
    <w:rsid w:val="000F20D8"/>
    <w:rsid w:val="000F2A59"/>
    <w:rsid w:val="000F6A67"/>
    <w:rsid w:val="000F6A73"/>
    <w:rsid w:val="00107154"/>
    <w:rsid w:val="00107724"/>
    <w:rsid w:val="001209E5"/>
    <w:rsid w:val="00132A29"/>
    <w:rsid w:val="00160037"/>
    <w:rsid w:val="00167C5E"/>
    <w:rsid w:val="001769AC"/>
    <w:rsid w:val="00177C02"/>
    <w:rsid w:val="00181457"/>
    <w:rsid w:val="00193B1E"/>
    <w:rsid w:val="001A2235"/>
    <w:rsid w:val="001D4A89"/>
    <w:rsid w:val="001E63C3"/>
    <w:rsid w:val="001F1CF5"/>
    <w:rsid w:val="0020403D"/>
    <w:rsid w:val="00206012"/>
    <w:rsid w:val="002127DC"/>
    <w:rsid w:val="00213EA3"/>
    <w:rsid w:val="0021567B"/>
    <w:rsid w:val="0024640F"/>
    <w:rsid w:val="00252B80"/>
    <w:rsid w:val="00271D98"/>
    <w:rsid w:val="00275CCB"/>
    <w:rsid w:val="00277CE6"/>
    <w:rsid w:val="00290418"/>
    <w:rsid w:val="00293112"/>
    <w:rsid w:val="002C701C"/>
    <w:rsid w:val="002D177D"/>
    <w:rsid w:val="002D466F"/>
    <w:rsid w:val="002E33AA"/>
    <w:rsid w:val="00302EC0"/>
    <w:rsid w:val="0031018D"/>
    <w:rsid w:val="0031066A"/>
    <w:rsid w:val="00320B8F"/>
    <w:rsid w:val="003247E4"/>
    <w:rsid w:val="00327B9C"/>
    <w:rsid w:val="00331A40"/>
    <w:rsid w:val="00346685"/>
    <w:rsid w:val="003534B6"/>
    <w:rsid w:val="003654A0"/>
    <w:rsid w:val="00374786"/>
    <w:rsid w:val="00375DF0"/>
    <w:rsid w:val="00380900"/>
    <w:rsid w:val="003A1C05"/>
    <w:rsid w:val="003A3705"/>
    <w:rsid w:val="003B2A7C"/>
    <w:rsid w:val="003B7937"/>
    <w:rsid w:val="003C15EA"/>
    <w:rsid w:val="003C4446"/>
    <w:rsid w:val="003C5081"/>
    <w:rsid w:val="003C5BBE"/>
    <w:rsid w:val="003E0F6B"/>
    <w:rsid w:val="003E2AC0"/>
    <w:rsid w:val="003E6992"/>
    <w:rsid w:val="0040199F"/>
    <w:rsid w:val="004020D1"/>
    <w:rsid w:val="00406620"/>
    <w:rsid w:val="004235D7"/>
    <w:rsid w:val="00427F2B"/>
    <w:rsid w:val="00431A3A"/>
    <w:rsid w:val="004346AC"/>
    <w:rsid w:val="00446882"/>
    <w:rsid w:val="00452ECF"/>
    <w:rsid w:val="00452F54"/>
    <w:rsid w:val="00454BBC"/>
    <w:rsid w:val="00464F97"/>
    <w:rsid w:val="004806B0"/>
    <w:rsid w:val="0048330A"/>
    <w:rsid w:val="00485D58"/>
    <w:rsid w:val="00486F85"/>
    <w:rsid w:val="004A09D1"/>
    <w:rsid w:val="004A0B80"/>
    <w:rsid w:val="004A4F7E"/>
    <w:rsid w:val="004A64A7"/>
    <w:rsid w:val="004A73A4"/>
    <w:rsid w:val="004B4E76"/>
    <w:rsid w:val="004D10DA"/>
    <w:rsid w:val="004D59F2"/>
    <w:rsid w:val="004D5A72"/>
    <w:rsid w:val="004E34B8"/>
    <w:rsid w:val="004E4FD7"/>
    <w:rsid w:val="004E7674"/>
    <w:rsid w:val="004F117F"/>
    <w:rsid w:val="004F1666"/>
    <w:rsid w:val="004F5BC2"/>
    <w:rsid w:val="004F649E"/>
    <w:rsid w:val="00534F29"/>
    <w:rsid w:val="00547A5A"/>
    <w:rsid w:val="00547E5F"/>
    <w:rsid w:val="005743E7"/>
    <w:rsid w:val="00591E91"/>
    <w:rsid w:val="005973C0"/>
    <w:rsid w:val="005A4987"/>
    <w:rsid w:val="005A577A"/>
    <w:rsid w:val="005A5E51"/>
    <w:rsid w:val="005A73E2"/>
    <w:rsid w:val="005D2181"/>
    <w:rsid w:val="005E0D52"/>
    <w:rsid w:val="006023FF"/>
    <w:rsid w:val="00602A53"/>
    <w:rsid w:val="0061744A"/>
    <w:rsid w:val="00617C11"/>
    <w:rsid w:val="006433E7"/>
    <w:rsid w:val="006745C9"/>
    <w:rsid w:val="00675F65"/>
    <w:rsid w:val="0068253A"/>
    <w:rsid w:val="00691BDB"/>
    <w:rsid w:val="0069261C"/>
    <w:rsid w:val="0069304E"/>
    <w:rsid w:val="006932F3"/>
    <w:rsid w:val="00694263"/>
    <w:rsid w:val="006967BE"/>
    <w:rsid w:val="006A03B7"/>
    <w:rsid w:val="006A76D2"/>
    <w:rsid w:val="006B3D2C"/>
    <w:rsid w:val="006B578E"/>
    <w:rsid w:val="006B7BA5"/>
    <w:rsid w:val="006C3DDE"/>
    <w:rsid w:val="006D660A"/>
    <w:rsid w:val="00724005"/>
    <w:rsid w:val="007444EA"/>
    <w:rsid w:val="00747D41"/>
    <w:rsid w:val="007529B4"/>
    <w:rsid w:val="0077256F"/>
    <w:rsid w:val="0077441D"/>
    <w:rsid w:val="0079167D"/>
    <w:rsid w:val="007B58F0"/>
    <w:rsid w:val="007D7AEC"/>
    <w:rsid w:val="007E208F"/>
    <w:rsid w:val="007E321E"/>
    <w:rsid w:val="007E401A"/>
    <w:rsid w:val="008136DE"/>
    <w:rsid w:val="00835D9D"/>
    <w:rsid w:val="00837565"/>
    <w:rsid w:val="00843B60"/>
    <w:rsid w:val="00846686"/>
    <w:rsid w:val="008502DA"/>
    <w:rsid w:val="0085552E"/>
    <w:rsid w:val="00861CD4"/>
    <w:rsid w:val="008633D6"/>
    <w:rsid w:val="008752BB"/>
    <w:rsid w:val="008817E2"/>
    <w:rsid w:val="00886379"/>
    <w:rsid w:val="00890D58"/>
    <w:rsid w:val="008A2FEF"/>
    <w:rsid w:val="008C35AD"/>
    <w:rsid w:val="008D3F44"/>
    <w:rsid w:val="008E243C"/>
    <w:rsid w:val="008E2772"/>
    <w:rsid w:val="008E6B04"/>
    <w:rsid w:val="008F20C0"/>
    <w:rsid w:val="008F5FB5"/>
    <w:rsid w:val="00902B01"/>
    <w:rsid w:val="00922BC7"/>
    <w:rsid w:val="00934F4B"/>
    <w:rsid w:val="0093757A"/>
    <w:rsid w:val="009428E8"/>
    <w:rsid w:val="00960A93"/>
    <w:rsid w:val="00973FAA"/>
    <w:rsid w:val="00980AAD"/>
    <w:rsid w:val="009836E0"/>
    <w:rsid w:val="00995077"/>
    <w:rsid w:val="009A31D5"/>
    <w:rsid w:val="009A42D2"/>
    <w:rsid w:val="009C5A10"/>
    <w:rsid w:val="009C5B12"/>
    <w:rsid w:val="009C6D50"/>
    <w:rsid w:val="009E2411"/>
    <w:rsid w:val="009E36E0"/>
    <w:rsid w:val="009E3CEA"/>
    <w:rsid w:val="009E4FBE"/>
    <w:rsid w:val="00A05931"/>
    <w:rsid w:val="00A13CC1"/>
    <w:rsid w:val="00A142EF"/>
    <w:rsid w:val="00A14BB5"/>
    <w:rsid w:val="00A21204"/>
    <w:rsid w:val="00A3709A"/>
    <w:rsid w:val="00A40C42"/>
    <w:rsid w:val="00A44597"/>
    <w:rsid w:val="00A54608"/>
    <w:rsid w:val="00A55881"/>
    <w:rsid w:val="00A732C5"/>
    <w:rsid w:val="00A86C95"/>
    <w:rsid w:val="00A90DAF"/>
    <w:rsid w:val="00AA4B6B"/>
    <w:rsid w:val="00AB4FF3"/>
    <w:rsid w:val="00AC78A7"/>
    <w:rsid w:val="00AF14F7"/>
    <w:rsid w:val="00AF3921"/>
    <w:rsid w:val="00AF7A43"/>
    <w:rsid w:val="00B00D88"/>
    <w:rsid w:val="00B25FD0"/>
    <w:rsid w:val="00B5410D"/>
    <w:rsid w:val="00B5432C"/>
    <w:rsid w:val="00B66F3E"/>
    <w:rsid w:val="00B73407"/>
    <w:rsid w:val="00B83AEA"/>
    <w:rsid w:val="00B9353F"/>
    <w:rsid w:val="00BA6396"/>
    <w:rsid w:val="00BB678E"/>
    <w:rsid w:val="00BD17F8"/>
    <w:rsid w:val="00BD1B27"/>
    <w:rsid w:val="00BE5CDB"/>
    <w:rsid w:val="00BF17FF"/>
    <w:rsid w:val="00BF4AD3"/>
    <w:rsid w:val="00C2217C"/>
    <w:rsid w:val="00C3103B"/>
    <w:rsid w:val="00C373DC"/>
    <w:rsid w:val="00C564EF"/>
    <w:rsid w:val="00C64B1E"/>
    <w:rsid w:val="00C66DBD"/>
    <w:rsid w:val="00C7144E"/>
    <w:rsid w:val="00C749A7"/>
    <w:rsid w:val="00C74F72"/>
    <w:rsid w:val="00C80904"/>
    <w:rsid w:val="00C85A8E"/>
    <w:rsid w:val="00C862DB"/>
    <w:rsid w:val="00C95AAD"/>
    <w:rsid w:val="00CB03DE"/>
    <w:rsid w:val="00CC5A3B"/>
    <w:rsid w:val="00CC74D7"/>
    <w:rsid w:val="00CD66B7"/>
    <w:rsid w:val="00CF0FEA"/>
    <w:rsid w:val="00CF4325"/>
    <w:rsid w:val="00D15CD3"/>
    <w:rsid w:val="00D42ED1"/>
    <w:rsid w:val="00D64A3E"/>
    <w:rsid w:val="00D92D80"/>
    <w:rsid w:val="00DA0F48"/>
    <w:rsid w:val="00DC2ABC"/>
    <w:rsid w:val="00DE1875"/>
    <w:rsid w:val="00DE2A74"/>
    <w:rsid w:val="00DE40E9"/>
    <w:rsid w:val="00DF1695"/>
    <w:rsid w:val="00DF71D9"/>
    <w:rsid w:val="00E2752E"/>
    <w:rsid w:val="00E331E7"/>
    <w:rsid w:val="00E346F7"/>
    <w:rsid w:val="00E373D0"/>
    <w:rsid w:val="00E65410"/>
    <w:rsid w:val="00E71E71"/>
    <w:rsid w:val="00EA403E"/>
    <w:rsid w:val="00ED3A68"/>
    <w:rsid w:val="00F139A2"/>
    <w:rsid w:val="00F171A3"/>
    <w:rsid w:val="00F21D11"/>
    <w:rsid w:val="00F27681"/>
    <w:rsid w:val="00F32FC6"/>
    <w:rsid w:val="00F33E12"/>
    <w:rsid w:val="00F379A0"/>
    <w:rsid w:val="00F4237E"/>
    <w:rsid w:val="00F64970"/>
    <w:rsid w:val="00F655B0"/>
    <w:rsid w:val="00F72670"/>
    <w:rsid w:val="00FA6A96"/>
    <w:rsid w:val="00FA6B3E"/>
    <w:rsid w:val="00FC6C38"/>
    <w:rsid w:val="00FE5F87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FE14C7"/>
  <w15:docId w15:val="{CA26027C-017E-4CCC-97B4-91DA34F8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2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670"/>
  </w:style>
  <w:style w:type="paragraph" w:styleId="Rodap">
    <w:name w:val="footer"/>
    <w:basedOn w:val="Normal"/>
    <w:link w:val="RodapChar"/>
    <w:uiPriority w:val="99"/>
    <w:unhideWhenUsed/>
    <w:rsid w:val="00F72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670"/>
  </w:style>
  <w:style w:type="paragraph" w:customStyle="1" w:styleId="Padro">
    <w:name w:val="Padro"/>
    <w:rsid w:val="004066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72400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72400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Refdenotaderodap">
    <w:name w:val="footnote reference"/>
    <w:uiPriority w:val="99"/>
    <w:rsid w:val="00E2752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2752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2752E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04-PargrafodetextoEstudoNotas-CLG">
    <w:name w:val="04 - Parágrafo de texto Estudo Notas - CLG"/>
    <w:rsid w:val="00E2752E"/>
    <w:pPr>
      <w:suppressAutoHyphens/>
      <w:autoSpaceDN w:val="0"/>
      <w:spacing w:after="360" w:line="360" w:lineRule="auto"/>
      <w:ind w:firstLine="1418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yperlink">
    <w:name w:val="Hyperlink"/>
    <w:rsid w:val="008C35AD"/>
    <w:rPr>
      <w:color w:val="000080"/>
      <w:u w:val="single"/>
    </w:rPr>
  </w:style>
  <w:style w:type="character" w:styleId="nfase">
    <w:name w:val="Emphasis"/>
    <w:basedOn w:val="Fontepargpadro"/>
    <w:uiPriority w:val="20"/>
    <w:qFormat/>
    <w:rsid w:val="008C35A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3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9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23C2-7C6D-498A-91AE-0CC2EB08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1390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gabrielamartins</dc:creator>
  <cp:lastModifiedBy>Rafaela Pires de Castro Oliveira</cp:lastModifiedBy>
  <cp:revision>3</cp:revision>
  <cp:lastPrinted>2018-05-29T20:18:00Z</cp:lastPrinted>
  <dcterms:created xsi:type="dcterms:W3CDTF">2018-05-30T19:45:00Z</dcterms:created>
  <dcterms:modified xsi:type="dcterms:W3CDTF">2018-05-30T19:52:00Z</dcterms:modified>
</cp:coreProperties>
</file>