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610E96DA"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D62CAD">
        <w:rPr>
          <w:rFonts w:ascii="Times New Roman" w:hAnsi="Times New Roman" w:cs="Times New Roman"/>
          <w:b/>
          <w:bCs/>
          <w:u w:val="single"/>
        </w:rPr>
        <w:t>ISO DE DISPENSA ELETRÔNICA Nº 10</w:t>
      </w:r>
      <w:r w:rsidRPr="00C829CD">
        <w:rPr>
          <w:rFonts w:ascii="Times New Roman" w:hAnsi="Times New Roman" w:cs="Times New Roman"/>
          <w:b/>
          <w:bCs/>
          <w:u w:val="single"/>
        </w:rPr>
        <w:t>/2023</w:t>
      </w:r>
    </w:p>
    <w:p w14:paraId="2A6D2F15" w14:textId="4EEAC961"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D62CAD" w:rsidRPr="00D62CAD">
        <w:rPr>
          <w:rFonts w:ascii="Times New Roman" w:hAnsi="Times New Roman" w:cs="Times New Roman" w:hint="eastAsia"/>
          <w:b/>
          <w:bCs/>
          <w:u w:val="single"/>
        </w:rPr>
        <w:t>19.00.6160.0003194/2023-47</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37090D9B"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Data da sessão:</w:t>
      </w:r>
      <w:r w:rsidR="00BB5D5D">
        <w:rPr>
          <w:rFonts w:ascii="Times New Roman" w:hAnsi="Times New Roman" w:cs="Times New Roman"/>
        </w:rPr>
        <w:t xml:space="preserve"> 29/09</w:t>
      </w:r>
      <w:r w:rsidRPr="7D02B368">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5E51ADEC" w:rsidR="00AE705E" w:rsidRDefault="00C85F49" w:rsidP="00C829CD">
      <w:pPr>
        <w:spacing w:line="360" w:lineRule="auto"/>
        <w:ind w:firstLine="1276"/>
        <w:jc w:val="both"/>
        <w:rPr>
          <w:rFonts w:ascii="Times New Roman" w:hAnsi="Times New Roman" w:cs="Times New Roman"/>
        </w:rPr>
      </w:pPr>
      <w:r w:rsidRPr="00C85F49">
        <w:rPr>
          <w:rFonts w:ascii="Times New Roman" w:hAnsi="Times New Roman" w:cs="Times New Roman"/>
        </w:rPr>
        <w:t>Contratação de consultoria técnica especializada em acústica na análise do projeto básico arquitetônico desenvolvido para a construção da futura sede própria do CNMP e contratação de consultoria técnica especializada em acústica para a proposição de soluções para ambientes específicos da sede atual do CNMP; incluindo levantamento dos requisitos junto à CONTRATANTE, análise dos ambientes críticos e desenvolvimento de soluções para garantir o conforto e desempenho acústico adequado para cada situação em conformidade com as Normas ABNT NBR 12179 Tratamento acústico em recintos fechados e ABNT NBR 10152 Acústica – Níveis de pressão sonora em ambientes internos a edificações,</w:t>
      </w:r>
      <w:r w:rsidR="001438C9" w:rsidRPr="001438C9">
        <w:rPr>
          <w:rFonts w:ascii="Times New Roman" w:hAnsi="Times New Roman" w:cs="Times New Roman"/>
        </w:rPr>
        <w:t xml:space="preserve"> conforme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00AE705E"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lastRenderedPageBreak/>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442B193D"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Pr="00C829CD">
        <w:rPr>
          <w:rFonts w:ascii="Times New Roman" w:hAnsi="Times New Roman" w:cs="Times New Roman"/>
        </w:rPr>
        <w:t>, conforme tabela abaixo:</w:t>
      </w:r>
    </w:p>
    <w:p w14:paraId="1B8CAE34" w14:textId="77777777" w:rsidR="00C30874" w:rsidRPr="00C30874" w:rsidRDefault="00C30874" w:rsidP="00C30874">
      <w:pPr>
        <w:suppressAutoHyphens/>
        <w:autoSpaceDN w:val="0"/>
        <w:spacing w:line="360" w:lineRule="auto"/>
        <w:textAlignment w:val="baseline"/>
        <w:rPr>
          <w:rFonts w:ascii="Times New Roman" w:hAnsi="Times New Roman" w:cs="Times New Roman"/>
        </w:rPr>
      </w:pPr>
    </w:p>
    <w:tbl>
      <w:tblPr>
        <w:tblStyle w:val="Tabelacomgrade"/>
        <w:tblW w:w="9351" w:type="dxa"/>
        <w:tblLayout w:type="fixed"/>
        <w:tblLook w:val="04A0" w:firstRow="1" w:lastRow="0" w:firstColumn="1" w:lastColumn="0" w:noHBand="0" w:noVBand="1"/>
      </w:tblPr>
      <w:tblGrid>
        <w:gridCol w:w="732"/>
        <w:gridCol w:w="2429"/>
        <w:gridCol w:w="1087"/>
        <w:gridCol w:w="1276"/>
        <w:gridCol w:w="1769"/>
        <w:gridCol w:w="2058"/>
      </w:tblGrid>
      <w:tr w:rsidR="00C85F49" w14:paraId="320B2D07" w14:textId="77777777" w:rsidTr="00060A94">
        <w:trPr>
          <w:trHeight w:val="300"/>
        </w:trPr>
        <w:tc>
          <w:tcPr>
            <w:tcW w:w="732" w:type="dxa"/>
            <w:shd w:val="clear" w:color="auto" w:fill="BFBFBF" w:themeFill="background1" w:themeFillShade="BF"/>
          </w:tcPr>
          <w:p w14:paraId="793A3FE6" w14:textId="532D2FE5" w:rsidR="00C85F49" w:rsidRPr="00C85F49" w:rsidRDefault="00C85F49" w:rsidP="00C85F49">
            <w:pPr>
              <w:pStyle w:val="Default"/>
              <w:spacing w:line="360" w:lineRule="auto"/>
              <w:rPr>
                <w:rFonts w:eastAsia="Times New Roman"/>
                <w:b/>
                <w:color w:val="000000" w:themeColor="text1"/>
              </w:rPr>
            </w:pPr>
            <w:bookmarkStart w:id="0" w:name="_Hlk136873503"/>
            <w:r w:rsidRPr="00C85F49">
              <w:rPr>
                <w:rFonts w:eastAsia="Times New Roman"/>
                <w:b/>
                <w:color w:val="000000" w:themeColor="text1"/>
              </w:rPr>
              <w:t>Item</w:t>
            </w:r>
          </w:p>
        </w:tc>
        <w:tc>
          <w:tcPr>
            <w:tcW w:w="2429" w:type="dxa"/>
            <w:shd w:val="clear" w:color="auto" w:fill="BFBFBF" w:themeFill="background1" w:themeFillShade="BF"/>
          </w:tcPr>
          <w:p w14:paraId="4AB256B6" w14:textId="35B156BC" w:rsidR="00C85F49" w:rsidRPr="00C85F49" w:rsidRDefault="00C85F49" w:rsidP="00C85F49">
            <w:pPr>
              <w:pStyle w:val="Default"/>
              <w:spacing w:line="360" w:lineRule="auto"/>
              <w:rPr>
                <w:rFonts w:eastAsia="Times New Roman"/>
                <w:b/>
                <w:color w:val="000000" w:themeColor="text1"/>
              </w:rPr>
            </w:pPr>
            <w:r w:rsidRPr="00C85F49">
              <w:rPr>
                <w:rFonts w:eastAsia="Times New Roman"/>
                <w:b/>
                <w:color w:val="000000" w:themeColor="text1"/>
              </w:rPr>
              <w:t>Descrição</w:t>
            </w:r>
          </w:p>
        </w:tc>
        <w:tc>
          <w:tcPr>
            <w:tcW w:w="1087" w:type="dxa"/>
            <w:shd w:val="clear" w:color="auto" w:fill="BFBFBF" w:themeFill="background1" w:themeFillShade="BF"/>
          </w:tcPr>
          <w:p w14:paraId="36B55D35" w14:textId="79B8B3B9" w:rsidR="00C85F49" w:rsidRPr="00C85F49" w:rsidRDefault="00C85F49" w:rsidP="00C85F49">
            <w:pPr>
              <w:pStyle w:val="Default"/>
              <w:spacing w:line="360" w:lineRule="auto"/>
              <w:rPr>
                <w:rFonts w:eastAsia="Times New Roman"/>
                <w:b/>
                <w:color w:val="000000" w:themeColor="text1"/>
              </w:rPr>
            </w:pPr>
            <w:proofErr w:type="spellStart"/>
            <w:r w:rsidRPr="00C85F49">
              <w:rPr>
                <w:rFonts w:eastAsia="Times New Roman"/>
                <w:b/>
                <w:color w:val="000000" w:themeColor="text1"/>
              </w:rPr>
              <w:t>Qtde</w:t>
            </w:r>
            <w:proofErr w:type="spellEnd"/>
          </w:p>
        </w:tc>
        <w:tc>
          <w:tcPr>
            <w:tcW w:w="1276" w:type="dxa"/>
            <w:shd w:val="clear" w:color="auto" w:fill="BFBFBF" w:themeFill="background1" w:themeFillShade="BF"/>
          </w:tcPr>
          <w:p w14:paraId="66C592F8" w14:textId="4F163EB2" w:rsidR="00C85F49" w:rsidRPr="00C85F49" w:rsidRDefault="00C85F49" w:rsidP="00C85F49">
            <w:pPr>
              <w:pStyle w:val="Default"/>
              <w:spacing w:line="360" w:lineRule="auto"/>
              <w:rPr>
                <w:rFonts w:eastAsia="Times New Roman"/>
                <w:b/>
                <w:color w:val="000000" w:themeColor="text1"/>
              </w:rPr>
            </w:pPr>
            <w:r w:rsidRPr="00C85F49">
              <w:rPr>
                <w:rFonts w:eastAsia="Times New Roman"/>
                <w:b/>
                <w:color w:val="000000" w:themeColor="text1"/>
              </w:rPr>
              <w:t>Unidade</w:t>
            </w:r>
          </w:p>
        </w:tc>
        <w:tc>
          <w:tcPr>
            <w:tcW w:w="1769" w:type="dxa"/>
            <w:shd w:val="clear" w:color="auto" w:fill="BFBFBF" w:themeFill="background1" w:themeFillShade="BF"/>
          </w:tcPr>
          <w:p w14:paraId="44A41055" w14:textId="1E2370F3" w:rsidR="00C85F49" w:rsidRPr="00C85F49" w:rsidRDefault="00C85F49" w:rsidP="00C85F49">
            <w:pPr>
              <w:pStyle w:val="Default"/>
              <w:spacing w:line="360" w:lineRule="auto"/>
              <w:rPr>
                <w:rFonts w:eastAsia="Times New Roman"/>
                <w:b/>
                <w:color w:val="000000" w:themeColor="text1"/>
              </w:rPr>
            </w:pPr>
            <w:r w:rsidRPr="00C85F49">
              <w:rPr>
                <w:rFonts w:eastAsia="Times New Roman"/>
                <w:b/>
                <w:color w:val="000000" w:themeColor="text1"/>
              </w:rPr>
              <w:t>Preço unitário</w:t>
            </w:r>
          </w:p>
        </w:tc>
        <w:tc>
          <w:tcPr>
            <w:tcW w:w="2058" w:type="dxa"/>
            <w:shd w:val="clear" w:color="auto" w:fill="BFBFBF" w:themeFill="background1" w:themeFillShade="BF"/>
          </w:tcPr>
          <w:p w14:paraId="6513575B" w14:textId="2BFFDDB3" w:rsidR="00C85F49" w:rsidRPr="00C85F49" w:rsidRDefault="00C85F49" w:rsidP="00C85F49">
            <w:pPr>
              <w:pStyle w:val="Default"/>
              <w:spacing w:line="360" w:lineRule="auto"/>
              <w:rPr>
                <w:rFonts w:eastAsia="Times New Roman"/>
                <w:b/>
                <w:color w:val="000000" w:themeColor="text1"/>
              </w:rPr>
            </w:pPr>
            <w:r w:rsidRPr="00C85F49">
              <w:rPr>
                <w:rFonts w:eastAsia="Times New Roman"/>
                <w:b/>
                <w:color w:val="000000" w:themeColor="text1"/>
              </w:rPr>
              <w:t>Preço total</w:t>
            </w:r>
          </w:p>
        </w:tc>
      </w:tr>
      <w:tr w:rsidR="00C85F49" w14:paraId="65ECC5A6" w14:textId="77777777" w:rsidTr="00060A94">
        <w:trPr>
          <w:trHeight w:val="1170"/>
        </w:trPr>
        <w:tc>
          <w:tcPr>
            <w:tcW w:w="732" w:type="dxa"/>
          </w:tcPr>
          <w:p w14:paraId="71CB3FC1" w14:textId="77777777" w:rsidR="00C85F49" w:rsidRPr="00C85F49" w:rsidRDefault="00C85F49" w:rsidP="00C85F49">
            <w:pPr>
              <w:pStyle w:val="Default"/>
              <w:spacing w:line="360" w:lineRule="auto"/>
              <w:rPr>
                <w:rFonts w:eastAsia="Times New Roman"/>
                <w:color w:val="000000" w:themeColor="text1"/>
                <w:sz w:val="20"/>
                <w:szCs w:val="20"/>
              </w:rPr>
            </w:pPr>
            <w:r w:rsidRPr="00C85F49">
              <w:rPr>
                <w:rFonts w:eastAsia="Times New Roman"/>
                <w:color w:val="000000" w:themeColor="text1"/>
                <w:sz w:val="20"/>
                <w:szCs w:val="20"/>
              </w:rPr>
              <w:t>1</w:t>
            </w:r>
          </w:p>
        </w:tc>
        <w:tc>
          <w:tcPr>
            <w:tcW w:w="2429" w:type="dxa"/>
          </w:tcPr>
          <w:p w14:paraId="1D59C3A1" w14:textId="77777777" w:rsidR="00C85F49" w:rsidRPr="00C85F49" w:rsidRDefault="00C85F49" w:rsidP="00C85F49">
            <w:pPr>
              <w:spacing w:line="360" w:lineRule="auto"/>
              <w:rPr>
                <w:rFonts w:ascii="Times New Roman" w:hAnsi="Times New Roman" w:cs="Times New Roman"/>
              </w:rPr>
            </w:pPr>
            <w:r w:rsidRPr="00C85F49">
              <w:rPr>
                <w:rFonts w:ascii="Times New Roman" w:hAnsi="Times New Roman" w:cs="Times New Roman"/>
              </w:rPr>
              <w:t xml:space="preserve">Prestação de serviços em consultoria técnica para atenuação sonora e condicionamento acústico dos seguintes ambientes da futura sede própria do CNMP: </w:t>
            </w:r>
          </w:p>
          <w:p w14:paraId="17B2BC5A" w14:textId="77777777" w:rsidR="00C85F49" w:rsidRPr="00C85F49" w:rsidRDefault="00C85F49" w:rsidP="00C85F49">
            <w:pPr>
              <w:spacing w:line="360" w:lineRule="auto"/>
              <w:rPr>
                <w:rFonts w:ascii="Times New Roman" w:hAnsi="Times New Roman" w:cs="Times New Roman"/>
              </w:rPr>
            </w:pPr>
            <w:r w:rsidRPr="00C85F49">
              <w:rPr>
                <w:rFonts w:ascii="Times New Roman" w:hAnsi="Times New Roman" w:cs="Times New Roman"/>
              </w:rPr>
              <w:t xml:space="preserve">1. Ambientes de Plenário, Auditório e Estúdio; </w:t>
            </w:r>
          </w:p>
          <w:p w14:paraId="3EF07966" w14:textId="77777777" w:rsidR="00C85F49" w:rsidRPr="00C85F49" w:rsidRDefault="00C85F49" w:rsidP="00C85F49">
            <w:pPr>
              <w:spacing w:line="360" w:lineRule="auto"/>
              <w:rPr>
                <w:rFonts w:ascii="Times New Roman" w:hAnsi="Times New Roman" w:cs="Times New Roman"/>
              </w:rPr>
            </w:pPr>
            <w:r w:rsidRPr="00C85F49">
              <w:rPr>
                <w:rFonts w:ascii="Times New Roman" w:hAnsi="Times New Roman" w:cs="Times New Roman"/>
              </w:rPr>
              <w:t>2. Biblioteca</w:t>
            </w:r>
          </w:p>
          <w:p w14:paraId="2A6E1A71" w14:textId="77777777" w:rsidR="00C85F49" w:rsidRPr="00C85F49" w:rsidRDefault="00C85F49" w:rsidP="00C85F49">
            <w:pPr>
              <w:spacing w:line="360" w:lineRule="auto"/>
              <w:rPr>
                <w:rFonts w:ascii="Times New Roman" w:hAnsi="Times New Roman" w:cs="Times New Roman"/>
              </w:rPr>
            </w:pPr>
            <w:r w:rsidRPr="00C85F49">
              <w:rPr>
                <w:rFonts w:ascii="Times New Roman" w:hAnsi="Times New Roman" w:cs="Times New Roman"/>
              </w:rPr>
              <w:t>3. Salas de atendimento da equipe da Segurança, Secretaria de Gestão de Pessoas e na Ouvidoria Nacional;</w:t>
            </w:r>
          </w:p>
          <w:p w14:paraId="5CF93977" w14:textId="77777777" w:rsidR="00C85F49" w:rsidRPr="00C85F49" w:rsidRDefault="00C85F49" w:rsidP="00C85F49">
            <w:pPr>
              <w:spacing w:line="360" w:lineRule="auto"/>
              <w:rPr>
                <w:rFonts w:ascii="Times New Roman" w:hAnsi="Times New Roman" w:cs="Times New Roman"/>
              </w:rPr>
            </w:pPr>
            <w:r w:rsidRPr="00C85F49">
              <w:rPr>
                <w:rFonts w:ascii="Times New Roman" w:hAnsi="Times New Roman" w:cs="Times New Roman"/>
              </w:rPr>
              <w:t xml:space="preserve">4. Salas de reuniões distribuídas no térreo e 1º Pavimento; </w:t>
            </w:r>
          </w:p>
          <w:p w14:paraId="601E70F5" w14:textId="77777777" w:rsidR="00C85F49" w:rsidRPr="00C85F49" w:rsidRDefault="00C85F49" w:rsidP="00C85F49">
            <w:pPr>
              <w:spacing w:line="360" w:lineRule="auto"/>
              <w:rPr>
                <w:rFonts w:ascii="Times New Roman" w:eastAsia="Times New Roman" w:hAnsi="Times New Roman" w:cs="Times New Roman"/>
                <w:color w:val="000000" w:themeColor="text1"/>
                <w:sz w:val="20"/>
                <w:szCs w:val="20"/>
              </w:rPr>
            </w:pPr>
            <w:r w:rsidRPr="00C85F49">
              <w:rPr>
                <w:rFonts w:ascii="Times New Roman" w:hAnsi="Times New Roman" w:cs="Times New Roman"/>
              </w:rPr>
              <w:lastRenderedPageBreak/>
              <w:t>5. Gabinete de autoridades (caso mais crítico).</w:t>
            </w:r>
          </w:p>
        </w:tc>
        <w:tc>
          <w:tcPr>
            <w:tcW w:w="1087" w:type="dxa"/>
          </w:tcPr>
          <w:p w14:paraId="0AE041F8" w14:textId="77777777" w:rsidR="00C85F49" w:rsidRPr="00C85F49" w:rsidRDefault="00C85F49" w:rsidP="00C85F49">
            <w:pPr>
              <w:spacing w:line="360" w:lineRule="auto"/>
              <w:jc w:val="center"/>
              <w:rPr>
                <w:rFonts w:ascii="Times New Roman" w:eastAsia="Times New Roman" w:hAnsi="Times New Roman" w:cs="Times New Roman"/>
                <w:color w:val="000000" w:themeColor="text1"/>
              </w:rPr>
            </w:pPr>
            <w:r w:rsidRPr="00C85F49">
              <w:rPr>
                <w:rFonts w:ascii="Times New Roman" w:eastAsia="Times New Roman" w:hAnsi="Times New Roman" w:cs="Times New Roman"/>
                <w:color w:val="000000" w:themeColor="text1"/>
              </w:rPr>
              <w:lastRenderedPageBreak/>
              <w:t>01</w:t>
            </w:r>
          </w:p>
        </w:tc>
        <w:tc>
          <w:tcPr>
            <w:tcW w:w="1276" w:type="dxa"/>
          </w:tcPr>
          <w:p w14:paraId="584F8E33" w14:textId="77777777" w:rsidR="00C85F49" w:rsidRPr="00C85F49" w:rsidRDefault="00C85F49" w:rsidP="00C85F49">
            <w:pPr>
              <w:pStyle w:val="Default"/>
              <w:spacing w:line="360" w:lineRule="auto"/>
              <w:jc w:val="center"/>
              <w:rPr>
                <w:rFonts w:eastAsia="Times New Roman"/>
                <w:color w:val="000000" w:themeColor="text1"/>
                <w:sz w:val="20"/>
                <w:szCs w:val="20"/>
              </w:rPr>
            </w:pPr>
            <w:r w:rsidRPr="00C85F49">
              <w:rPr>
                <w:rFonts w:eastAsia="Times New Roman"/>
                <w:color w:val="000000" w:themeColor="text1"/>
                <w:sz w:val="20"/>
                <w:szCs w:val="20"/>
              </w:rPr>
              <w:t>Unidade</w:t>
            </w:r>
          </w:p>
        </w:tc>
        <w:tc>
          <w:tcPr>
            <w:tcW w:w="1769" w:type="dxa"/>
          </w:tcPr>
          <w:p w14:paraId="7F0F22D3" w14:textId="3D0B775B" w:rsidR="00C85F49" w:rsidRPr="00C85F49" w:rsidRDefault="00C85F49" w:rsidP="00C85F49">
            <w:pPr>
              <w:spacing w:line="360" w:lineRule="auto"/>
              <w:rPr>
                <w:rFonts w:ascii="Times New Roman" w:eastAsia="Times New Roman" w:hAnsi="Times New Roman" w:cs="Times New Roman"/>
                <w:color w:val="000000" w:themeColor="text1"/>
              </w:rPr>
            </w:pPr>
            <w:r w:rsidRPr="00C85F49">
              <w:rPr>
                <w:rFonts w:ascii="Times New Roman" w:eastAsia="Times New Roman" w:hAnsi="Times New Roman" w:cs="Times New Roman"/>
                <w:color w:val="000000" w:themeColor="text1"/>
              </w:rPr>
              <w:t xml:space="preserve">  R$ </w:t>
            </w:r>
            <w:r w:rsidR="00060A94">
              <w:rPr>
                <w:rFonts w:ascii="Times New Roman" w:eastAsia="Times New Roman" w:hAnsi="Times New Roman" w:cs="Times New Roman"/>
                <w:color w:val="000000" w:themeColor="text1"/>
              </w:rPr>
              <w:t>35.320,00</w:t>
            </w:r>
          </w:p>
        </w:tc>
        <w:tc>
          <w:tcPr>
            <w:tcW w:w="2058" w:type="dxa"/>
          </w:tcPr>
          <w:p w14:paraId="02B7F2DD" w14:textId="20B95341" w:rsidR="00C85F49" w:rsidRDefault="00C85F49" w:rsidP="00C85F49">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060A94" w:rsidRPr="00C85F49">
              <w:rPr>
                <w:rFonts w:ascii="Times New Roman" w:eastAsia="Times New Roman" w:hAnsi="Times New Roman" w:cs="Times New Roman"/>
                <w:color w:val="000000" w:themeColor="text1"/>
              </w:rPr>
              <w:t xml:space="preserve">R$ </w:t>
            </w:r>
            <w:r w:rsidR="00060A94">
              <w:rPr>
                <w:rFonts w:ascii="Times New Roman" w:eastAsia="Times New Roman" w:hAnsi="Times New Roman" w:cs="Times New Roman"/>
                <w:color w:val="000000" w:themeColor="text1"/>
              </w:rPr>
              <w:t>35.320,00</w:t>
            </w:r>
          </w:p>
        </w:tc>
      </w:tr>
      <w:tr w:rsidR="00C85F49" w14:paraId="5E00CEA2" w14:textId="77777777" w:rsidTr="00060A94">
        <w:trPr>
          <w:trHeight w:val="1170"/>
        </w:trPr>
        <w:tc>
          <w:tcPr>
            <w:tcW w:w="732" w:type="dxa"/>
          </w:tcPr>
          <w:p w14:paraId="47676871" w14:textId="77777777" w:rsidR="00C85F49" w:rsidRPr="00C85F49" w:rsidRDefault="00C85F49" w:rsidP="00C85F49">
            <w:pPr>
              <w:pStyle w:val="Default"/>
              <w:spacing w:line="360" w:lineRule="auto"/>
              <w:rPr>
                <w:rFonts w:eastAsia="Times New Roman"/>
                <w:color w:val="000000" w:themeColor="text1"/>
                <w:sz w:val="20"/>
                <w:szCs w:val="20"/>
              </w:rPr>
            </w:pPr>
            <w:r w:rsidRPr="00C85F49">
              <w:rPr>
                <w:rFonts w:eastAsia="Times New Roman"/>
                <w:color w:val="000000" w:themeColor="text1"/>
                <w:sz w:val="20"/>
                <w:szCs w:val="20"/>
              </w:rPr>
              <w:t>2</w:t>
            </w:r>
          </w:p>
        </w:tc>
        <w:tc>
          <w:tcPr>
            <w:tcW w:w="2429" w:type="dxa"/>
          </w:tcPr>
          <w:p w14:paraId="651EA08C" w14:textId="77777777" w:rsidR="00C85F49" w:rsidRPr="00C85F49" w:rsidRDefault="00C85F49" w:rsidP="00C85F49">
            <w:pPr>
              <w:spacing w:line="360" w:lineRule="auto"/>
              <w:rPr>
                <w:rFonts w:ascii="Times New Roman" w:hAnsi="Times New Roman" w:cs="Times New Roman"/>
              </w:rPr>
            </w:pPr>
            <w:r w:rsidRPr="00C85F49">
              <w:rPr>
                <w:rFonts w:ascii="Times New Roman" w:hAnsi="Times New Roman" w:cs="Times New Roman"/>
              </w:rPr>
              <w:t xml:space="preserve">Prestação de serviços em consultoria técnica para atenuação sonora e condicionamento acústico dos seguintes ambientes da atual sede do CNMP: </w:t>
            </w:r>
          </w:p>
          <w:p w14:paraId="63021178" w14:textId="77777777" w:rsidR="00C85F49" w:rsidRPr="00C85F49" w:rsidRDefault="00C85F49" w:rsidP="00B2057A">
            <w:pPr>
              <w:pStyle w:val="PargrafodaLista"/>
              <w:numPr>
                <w:ilvl w:val="0"/>
                <w:numId w:val="25"/>
              </w:numPr>
              <w:spacing w:line="360" w:lineRule="auto"/>
              <w:rPr>
                <w:rFonts w:ascii="Times New Roman" w:hAnsi="Times New Roman" w:cs="Times New Roman"/>
              </w:rPr>
            </w:pPr>
            <w:r w:rsidRPr="00C85F49">
              <w:rPr>
                <w:rFonts w:ascii="Times New Roman" w:hAnsi="Times New Roman" w:cs="Times New Roman"/>
              </w:rPr>
              <w:t>Plenário</w:t>
            </w:r>
          </w:p>
          <w:p w14:paraId="61651709" w14:textId="77777777" w:rsidR="00C85F49" w:rsidRPr="00C85F49" w:rsidRDefault="00C85F49" w:rsidP="00B2057A">
            <w:pPr>
              <w:pStyle w:val="PargrafodaLista"/>
              <w:numPr>
                <w:ilvl w:val="0"/>
                <w:numId w:val="25"/>
              </w:numPr>
              <w:spacing w:line="360" w:lineRule="auto"/>
              <w:rPr>
                <w:rFonts w:ascii="Times New Roman" w:hAnsi="Times New Roman" w:cs="Times New Roman"/>
              </w:rPr>
            </w:pPr>
            <w:r w:rsidRPr="00C85F49">
              <w:rPr>
                <w:rFonts w:ascii="Times New Roman" w:hAnsi="Times New Roman" w:cs="Times New Roman"/>
              </w:rPr>
              <w:t>Estúdio</w:t>
            </w:r>
          </w:p>
          <w:p w14:paraId="7E31AA6E" w14:textId="77777777" w:rsidR="00C85F49" w:rsidRPr="00C85F49" w:rsidRDefault="00C85F49" w:rsidP="00B2057A">
            <w:pPr>
              <w:pStyle w:val="PargrafodaLista"/>
              <w:numPr>
                <w:ilvl w:val="0"/>
                <w:numId w:val="25"/>
              </w:numPr>
              <w:spacing w:line="360" w:lineRule="auto"/>
              <w:rPr>
                <w:rFonts w:ascii="Times New Roman" w:hAnsi="Times New Roman" w:cs="Times New Roman"/>
              </w:rPr>
            </w:pPr>
            <w:r w:rsidRPr="00C85F49">
              <w:rPr>
                <w:rFonts w:ascii="Times New Roman" w:hAnsi="Times New Roman" w:cs="Times New Roman"/>
              </w:rPr>
              <w:t>Biblioteca</w:t>
            </w:r>
          </w:p>
          <w:p w14:paraId="526428F5" w14:textId="77777777" w:rsidR="00C85F49" w:rsidRPr="00C85F49" w:rsidRDefault="00C85F49" w:rsidP="00B2057A">
            <w:pPr>
              <w:pStyle w:val="PargrafodaLista"/>
              <w:numPr>
                <w:ilvl w:val="0"/>
                <w:numId w:val="25"/>
              </w:numPr>
              <w:spacing w:line="360" w:lineRule="auto"/>
              <w:rPr>
                <w:rFonts w:ascii="Times New Roman" w:hAnsi="Times New Roman" w:cs="Times New Roman"/>
              </w:rPr>
            </w:pPr>
            <w:r w:rsidRPr="00C85F49">
              <w:rPr>
                <w:rFonts w:ascii="Times New Roman" w:hAnsi="Times New Roman" w:cs="Times New Roman"/>
              </w:rPr>
              <w:t>Salas de Reunião</w:t>
            </w:r>
          </w:p>
          <w:p w14:paraId="67842787" w14:textId="77777777" w:rsidR="00C85F49" w:rsidRPr="00C85F49" w:rsidRDefault="00C85F49" w:rsidP="00B2057A">
            <w:pPr>
              <w:pStyle w:val="PargrafodaLista"/>
              <w:numPr>
                <w:ilvl w:val="0"/>
                <w:numId w:val="25"/>
              </w:numPr>
              <w:spacing w:line="360" w:lineRule="auto"/>
              <w:rPr>
                <w:rFonts w:ascii="Times New Roman" w:hAnsi="Times New Roman" w:cs="Times New Roman"/>
              </w:rPr>
            </w:pPr>
            <w:r w:rsidRPr="00C85F49">
              <w:rPr>
                <w:rFonts w:ascii="Times New Roman" w:hAnsi="Times New Roman" w:cs="Times New Roman"/>
              </w:rPr>
              <w:t>Gabinetes de autoridades  (caso mais crítico).</w:t>
            </w:r>
          </w:p>
        </w:tc>
        <w:tc>
          <w:tcPr>
            <w:tcW w:w="1087" w:type="dxa"/>
          </w:tcPr>
          <w:p w14:paraId="53ED4ECB" w14:textId="77777777" w:rsidR="00C85F49" w:rsidRPr="00C85F49" w:rsidRDefault="00C85F49" w:rsidP="00C85F49">
            <w:pPr>
              <w:spacing w:line="360" w:lineRule="auto"/>
              <w:jc w:val="center"/>
              <w:rPr>
                <w:rFonts w:ascii="Times New Roman" w:eastAsia="Times New Roman" w:hAnsi="Times New Roman" w:cs="Times New Roman"/>
                <w:color w:val="000000" w:themeColor="text1"/>
              </w:rPr>
            </w:pPr>
            <w:r w:rsidRPr="00C85F49">
              <w:rPr>
                <w:rFonts w:ascii="Times New Roman" w:eastAsia="Times New Roman" w:hAnsi="Times New Roman" w:cs="Times New Roman"/>
                <w:color w:val="000000" w:themeColor="text1"/>
              </w:rPr>
              <w:t>01</w:t>
            </w:r>
          </w:p>
        </w:tc>
        <w:tc>
          <w:tcPr>
            <w:tcW w:w="1276" w:type="dxa"/>
          </w:tcPr>
          <w:p w14:paraId="51F49909" w14:textId="77777777" w:rsidR="00C85F49" w:rsidRPr="00C85F49" w:rsidRDefault="00C85F49" w:rsidP="00C85F49">
            <w:pPr>
              <w:pStyle w:val="Default"/>
              <w:spacing w:line="360" w:lineRule="auto"/>
              <w:jc w:val="center"/>
              <w:rPr>
                <w:rFonts w:eastAsia="Times New Roman"/>
                <w:color w:val="000000" w:themeColor="text1"/>
                <w:sz w:val="20"/>
                <w:szCs w:val="20"/>
              </w:rPr>
            </w:pPr>
            <w:r w:rsidRPr="00C85F49">
              <w:rPr>
                <w:rFonts w:eastAsia="Times New Roman"/>
                <w:color w:val="000000" w:themeColor="text1"/>
                <w:sz w:val="20"/>
                <w:szCs w:val="20"/>
              </w:rPr>
              <w:t>Unidade</w:t>
            </w:r>
          </w:p>
        </w:tc>
        <w:tc>
          <w:tcPr>
            <w:tcW w:w="1769" w:type="dxa"/>
          </w:tcPr>
          <w:p w14:paraId="2F9FDF90" w14:textId="171F06D2" w:rsidR="00C85F49" w:rsidRPr="00C85F49" w:rsidRDefault="00C85F49" w:rsidP="00C85F49">
            <w:pPr>
              <w:spacing w:line="360" w:lineRule="auto"/>
              <w:rPr>
                <w:rFonts w:ascii="Times New Roman" w:eastAsia="Times New Roman" w:hAnsi="Times New Roman" w:cs="Times New Roman"/>
                <w:color w:val="000000" w:themeColor="text1"/>
              </w:rPr>
            </w:pPr>
            <w:r w:rsidRPr="00C85F49">
              <w:rPr>
                <w:rFonts w:ascii="Times New Roman" w:eastAsia="Times New Roman" w:hAnsi="Times New Roman" w:cs="Times New Roman"/>
                <w:color w:val="000000" w:themeColor="text1"/>
              </w:rPr>
              <w:t>R$</w:t>
            </w:r>
            <w:r w:rsidR="00060A94">
              <w:rPr>
                <w:rFonts w:ascii="Times New Roman" w:eastAsia="Times New Roman" w:hAnsi="Times New Roman" w:cs="Times New Roman"/>
                <w:color w:val="000000" w:themeColor="text1"/>
              </w:rPr>
              <w:t xml:space="preserve"> 25.210,09</w:t>
            </w:r>
          </w:p>
        </w:tc>
        <w:tc>
          <w:tcPr>
            <w:tcW w:w="2058" w:type="dxa"/>
          </w:tcPr>
          <w:p w14:paraId="2350635E" w14:textId="4A79993D" w:rsidR="00C85F49" w:rsidRDefault="00060A94" w:rsidP="00C85F49">
            <w:pPr>
              <w:spacing w:line="360" w:lineRule="auto"/>
              <w:rPr>
                <w:rFonts w:ascii="Times New Roman" w:eastAsia="Times New Roman" w:hAnsi="Times New Roman" w:cs="Times New Roman"/>
                <w:color w:val="000000" w:themeColor="text1"/>
              </w:rPr>
            </w:pPr>
            <w:r w:rsidRPr="00C85F49">
              <w:rPr>
                <w:rFonts w:ascii="Times New Roman" w:eastAsia="Times New Roman" w:hAnsi="Times New Roman" w:cs="Times New Roman"/>
                <w:color w:val="000000" w:themeColor="text1"/>
              </w:rPr>
              <w:t xml:space="preserve"> R$</w:t>
            </w:r>
            <w:r>
              <w:rPr>
                <w:rFonts w:ascii="Times New Roman" w:eastAsia="Times New Roman" w:hAnsi="Times New Roman" w:cs="Times New Roman"/>
                <w:color w:val="000000" w:themeColor="text1"/>
              </w:rPr>
              <w:t xml:space="preserve"> 25.210,09</w:t>
            </w:r>
          </w:p>
        </w:tc>
      </w:tr>
      <w:tr w:rsidR="00C85F49" w14:paraId="2DA2120A" w14:textId="77777777" w:rsidTr="00C85F49">
        <w:tc>
          <w:tcPr>
            <w:tcW w:w="4248" w:type="dxa"/>
            <w:gridSpan w:val="3"/>
            <w:shd w:val="clear" w:color="auto" w:fill="BFBFBF" w:themeFill="background1" w:themeFillShade="BF"/>
          </w:tcPr>
          <w:p w14:paraId="58EA72C3" w14:textId="3236DD56" w:rsidR="00C85F49" w:rsidRPr="00C85F49" w:rsidRDefault="00C85F49" w:rsidP="00C829CD">
            <w:pPr>
              <w:pStyle w:val="PargrafodaLista"/>
              <w:spacing w:line="360" w:lineRule="auto"/>
              <w:ind w:left="0"/>
              <w:rPr>
                <w:rFonts w:ascii="Times New Roman" w:hAnsi="Times New Roman" w:cs="Times New Roman"/>
                <w:b/>
              </w:rPr>
            </w:pPr>
            <w:r w:rsidRPr="00C85F49">
              <w:rPr>
                <w:rFonts w:ascii="Times New Roman" w:hAnsi="Times New Roman" w:cs="Times New Roman"/>
                <w:b/>
              </w:rPr>
              <w:t>Valor Total da Contratação</w:t>
            </w:r>
          </w:p>
        </w:tc>
        <w:tc>
          <w:tcPr>
            <w:tcW w:w="5103" w:type="dxa"/>
            <w:gridSpan w:val="3"/>
            <w:shd w:val="clear" w:color="auto" w:fill="BFBFBF" w:themeFill="background1" w:themeFillShade="BF"/>
          </w:tcPr>
          <w:p w14:paraId="35418542" w14:textId="5878B19D" w:rsidR="00C85F49" w:rsidRPr="00060A94" w:rsidRDefault="00060A94" w:rsidP="00C829CD">
            <w:pPr>
              <w:pStyle w:val="PargrafodaLista"/>
              <w:spacing w:line="360" w:lineRule="auto"/>
              <w:ind w:left="0"/>
              <w:rPr>
                <w:rFonts w:ascii="Times New Roman" w:hAnsi="Times New Roman" w:cs="Times New Roman"/>
                <w:b/>
              </w:rPr>
            </w:pPr>
            <w:r>
              <w:rPr>
                <w:rFonts w:ascii="Times New Roman" w:hAnsi="Times New Roman" w:cs="Times New Roman"/>
                <w:b/>
              </w:rPr>
              <w:t xml:space="preserve">                                                    </w:t>
            </w:r>
            <w:r w:rsidRPr="00060A94">
              <w:rPr>
                <w:rFonts w:ascii="Times New Roman" w:hAnsi="Times New Roman" w:cs="Times New Roman"/>
                <w:b/>
              </w:rPr>
              <w:t>R$ 60.530,09</w:t>
            </w:r>
          </w:p>
        </w:tc>
      </w:tr>
    </w:tbl>
    <w:p w14:paraId="05339A16" w14:textId="77777777" w:rsidR="00AE705E" w:rsidRPr="00C829CD" w:rsidRDefault="00AE705E" w:rsidP="00C829CD">
      <w:pPr>
        <w:pStyle w:val="PargrafodaLista"/>
        <w:spacing w:line="360" w:lineRule="auto"/>
        <w:ind w:left="375"/>
        <w:rPr>
          <w:rFonts w:ascii="Times New Roman" w:hAnsi="Times New Roman" w:cs="Times New Roman"/>
        </w:rPr>
      </w:pPr>
    </w:p>
    <w:p w14:paraId="00EC5767" w14:textId="42FC5019" w:rsidR="00AE705E" w:rsidRPr="00C30874" w:rsidRDefault="00AE705E" w:rsidP="00C829CD">
      <w:pPr>
        <w:pStyle w:val="PargrafodaLista"/>
        <w:spacing w:line="360" w:lineRule="auto"/>
        <w:ind w:left="375"/>
        <w:rPr>
          <w:rFonts w:ascii="Times New Roman" w:hAnsi="Times New Roman" w:cs="Times New Roman"/>
          <w:b/>
          <w:bCs/>
        </w:rPr>
      </w:pPr>
    </w:p>
    <w:bookmarkEnd w:id="0"/>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lastRenderedPageBreak/>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A proposta também deverá conter declaração de que compreende a integralidade dos custos para atendimento dos direitos trabalhistas assegurados na Constituição Federal, nas leis trabalhistas, nas normas infralegais, nas convenções </w:t>
      </w:r>
      <w:r w:rsidRPr="00C829CD">
        <w:rPr>
          <w:rFonts w:ascii="Times New Roman" w:hAnsi="Times New Roman" w:cs="Times New Roman"/>
        </w:rPr>
        <w:lastRenderedPageBreak/>
        <w:t>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lastRenderedPageBreak/>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lastRenderedPageBreak/>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lastRenderedPageBreak/>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lastRenderedPageBreak/>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lastRenderedPageBreak/>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lastRenderedPageBreak/>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w:t>
      </w:r>
      <w:r w:rsidRPr="00C829CD">
        <w:rPr>
          <w:rFonts w:ascii="Times New Roman" w:hAnsi="Times New Roman" w:cs="Times New Roman"/>
          <w:sz w:val="24"/>
        </w:rPr>
        <w:lastRenderedPageBreak/>
        <w:t>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4F5157F6" w14:textId="1286636E" w:rsidR="009461BB" w:rsidRDefault="009461BB" w:rsidP="00476E3B">
      <w:pPr>
        <w:pStyle w:val="Standard"/>
        <w:numPr>
          <w:ilvl w:val="1"/>
          <w:numId w:val="16"/>
        </w:numPr>
        <w:spacing w:after="113" w:line="360" w:lineRule="auto"/>
        <w:ind w:left="0" w:firstLine="0"/>
        <w:jc w:val="both"/>
        <w:textAlignment w:val="baseline"/>
        <w:rPr>
          <w:rFonts w:ascii="Times New Roman" w:hAnsi="Times New Roman" w:cs="Times New Roman"/>
          <w:b/>
        </w:rPr>
      </w:pPr>
      <w:r w:rsidRPr="009461BB">
        <w:rPr>
          <w:rFonts w:ascii="Times New Roman" w:hAnsi="Times New Roman" w:cs="Times New Roman"/>
          <w:b/>
        </w:rPr>
        <w:t>Qualificação Técnica</w:t>
      </w:r>
    </w:p>
    <w:p w14:paraId="48A11E6B" w14:textId="7E6A70EB" w:rsidR="009461BB" w:rsidRPr="009461BB" w:rsidRDefault="007944E1" w:rsidP="009461BB">
      <w:pPr>
        <w:pStyle w:val="Standard"/>
        <w:spacing w:after="113" w:line="360" w:lineRule="auto"/>
        <w:jc w:val="both"/>
        <w:textAlignment w:val="baseline"/>
        <w:rPr>
          <w:rFonts w:ascii="Times New Roman" w:hAnsi="Times New Roman" w:cs="Times New Roman"/>
          <w:b/>
        </w:rPr>
      </w:pPr>
      <w:r>
        <w:rPr>
          <w:rFonts w:ascii="Times New Roman" w:hAnsi="Times New Roman" w:cs="Times New Roman"/>
          <w:b/>
        </w:rPr>
        <w:t>6.10.1 A</w:t>
      </w:r>
      <w:r w:rsidR="009461BB" w:rsidRPr="00300E38">
        <w:rPr>
          <w:rFonts w:eastAsia="Times New Roman"/>
        </w:rPr>
        <w:t xml:space="preserve"> documentação relativa à Qualificação Técnica das empresas licitantes</w:t>
      </w:r>
      <w:r w:rsidR="009461BB">
        <w:rPr>
          <w:rFonts w:eastAsia="Times New Roman"/>
        </w:rPr>
        <w:t xml:space="preserve"> deverá atender aos </w:t>
      </w:r>
      <w:r>
        <w:rPr>
          <w:rFonts w:eastAsia="Times New Roman"/>
        </w:rPr>
        <w:t>critérios estabelecidos</w:t>
      </w:r>
      <w:r w:rsidR="009461BB">
        <w:rPr>
          <w:rFonts w:eastAsia="Times New Roman"/>
        </w:rPr>
        <w:t xml:space="preserve"> no item 2</w:t>
      </w:r>
      <w:r w:rsidR="0018128D">
        <w:rPr>
          <w:rFonts w:eastAsia="Times New Roman"/>
        </w:rPr>
        <w:t>0</w:t>
      </w:r>
      <w:r>
        <w:rPr>
          <w:rFonts w:eastAsia="Times New Roman"/>
        </w:rPr>
        <w:t xml:space="preserve"> do Termo de Referência (anexo I do edital).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 fornecedor enquadrado como microempreendedor individual que pretenda auferir os benefícios do tratamento diferenciado previstos na Lei Complementar nº 123/2006, estará dispensado </w:t>
      </w:r>
      <w:r w:rsidRPr="00C829CD">
        <w:rPr>
          <w:rFonts w:ascii="Times New Roman" w:hAnsi="Times New Roman" w:cs="Times New Roman"/>
          <w:lang w:eastAsia="ar-SA"/>
        </w:rPr>
        <w:lastRenderedPageBreak/>
        <w:t>(a)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lastRenderedPageBreak/>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w:t>
      </w:r>
      <w:r w:rsidRPr="00C829CD">
        <w:rPr>
          <w:rFonts w:ascii="Times New Roman" w:hAnsi="Times New Roman" w:cs="Times New Roman"/>
        </w:rPr>
        <w:lastRenderedPageBreak/>
        <w:t>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3C111267"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73337A">
        <w:rPr>
          <w:rFonts w:ascii="Times New Roman" w:hAnsi="Times New Roman" w:cs="Times New Roman"/>
          <w:b/>
          <w:bCs/>
          <w:u w:val="single"/>
        </w:rPr>
        <w:t>ISO DE DISPENSA ELETRÔNICA Nº 10</w:t>
      </w:r>
      <w:r>
        <w:rPr>
          <w:rFonts w:ascii="Times New Roman" w:hAnsi="Times New Roman" w:cs="Times New Roman"/>
          <w:b/>
          <w:bCs/>
          <w:u w:val="single"/>
        </w:rPr>
        <w:t>/2023_</w:t>
      </w:r>
    </w:p>
    <w:p w14:paraId="261B1109" w14:textId="7059EE1B" w:rsidR="00863FD8" w:rsidRDefault="00863FD8" w:rsidP="0073337A">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73337A" w:rsidRPr="0073337A">
        <w:rPr>
          <w:rFonts w:ascii="Times New Roman" w:hAnsi="Times New Roman" w:cs="Times New Roman" w:hint="eastAsia"/>
          <w:b/>
          <w:bCs/>
          <w:u w:val="single"/>
        </w:rPr>
        <w:t>19.00.6160.0003194/2023-47</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11BF7725" w14:textId="77777777" w:rsidR="00833599" w:rsidRPr="00AC4EB5" w:rsidRDefault="00833599" w:rsidP="00863FD8">
      <w:pPr>
        <w:jc w:val="center"/>
        <w:rPr>
          <w:rFonts w:ascii="Times New Roman" w:eastAsia="Times New Roman" w:hAnsi="Times New Roman" w:cs="Times New Roman"/>
          <w:b/>
          <w:bCs/>
          <w:u w:val="single"/>
        </w:rPr>
      </w:pPr>
    </w:p>
    <w:p w14:paraId="34FEDC2C" w14:textId="77777777" w:rsidR="0073337A" w:rsidRDefault="0073337A" w:rsidP="0073337A">
      <w:pPr>
        <w:pStyle w:val="Default"/>
        <w:spacing w:line="360" w:lineRule="auto"/>
        <w:ind w:firstLine="709"/>
        <w:jc w:val="center"/>
        <w:rPr>
          <w:rFonts w:eastAsia="Times New Roman"/>
          <w:b/>
          <w:bCs/>
          <w:strike/>
          <w:color w:val="000000" w:themeColor="text1"/>
        </w:rPr>
      </w:pPr>
      <w:r w:rsidRPr="00E130F3">
        <w:rPr>
          <w:rFonts w:eastAsia="Times New Roman"/>
          <w:b/>
          <w:bCs/>
          <w:color w:val="auto"/>
        </w:rPr>
        <w:t xml:space="preserve">TERMO DE REFERÊNCIA PARA CONTRATAÇÃO DE SERVIÇOS </w:t>
      </w:r>
      <w:r>
        <w:rPr>
          <w:rFonts w:eastAsia="Times New Roman"/>
          <w:b/>
          <w:bCs/>
          <w:color w:val="auto"/>
        </w:rPr>
        <w:t>DE ACÚSTICA PARA O CNMP</w:t>
      </w:r>
    </w:p>
    <w:p w14:paraId="305154AF" w14:textId="77777777" w:rsidR="0073337A" w:rsidRPr="00C275FA" w:rsidRDefault="0073337A" w:rsidP="0073337A">
      <w:pPr>
        <w:pStyle w:val="Default"/>
        <w:spacing w:line="360" w:lineRule="auto"/>
        <w:ind w:firstLine="709"/>
        <w:jc w:val="center"/>
        <w:rPr>
          <w:rFonts w:eastAsia="Times New Roman"/>
          <w:color w:val="auto"/>
          <w:sz w:val="17"/>
          <w:szCs w:val="17"/>
        </w:rPr>
      </w:pPr>
    </w:p>
    <w:p w14:paraId="3B2A891A"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4E79D129">
        <w:rPr>
          <w:rFonts w:eastAsia="Times New Roman"/>
          <w:b/>
          <w:bCs/>
          <w:color w:val="auto"/>
        </w:rPr>
        <w:t>OBJETO</w:t>
      </w:r>
    </w:p>
    <w:p w14:paraId="69DA87E1" w14:textId="77777777" w:rsidR="0073337A" w:rsidRPr="00BB4E7A" w:rsidRDefault="0073337A" w:rsidP="00B2057A">
      <w:pPr>
        <w:pStyle w:val="Default"/>
        <w:numPr>
          <w:ilvl w:val="1"/>
          <w:numId w:val="23"/>
        </w:numPr>
        <w:spacing w:line="360" w:lineRule="auto"/>
        <w:ind w:left="0" w:firstLine="0"/>
        <w:jc w:val="both"/>
        <w:rPr>
          <w:rFonts w:eastAsia="Times New Roman"/>
          <w:color w:val="auto"/>
        </w:rPr>
      </w:pPr>
      <w:r w:rsidRPr="00BB4E7A">
        <w:t>Contratação de consultoria técnica especializada em acústica na análise do projeto básico arquitetônico desenvolvido para a construção da futura sede própria do CNMP e contratação de consultoria técnica especializada em acústica para a proposição de soluções para ambientes específicos da sede atual do CNMP; incluindo levantamento dos requisitos junto à CONTRATANTE, análise dos ambientes críticos e desenvolvimento de soluções para garantir o conforto e desempenho acústico adequado para cada situação em conformidade com as Normas ABNT NBR 12179 Tratamento acústico em recintos fechados e ABNT NBR 10152 Acústica – Níveis de pressão sonora em ambientes internos a edificações</w:t>
      </w:r>
      <w:r w:rsidRPr="00BB4E7A">
        <w:rPr>
          <w:rFonts w:eastAsia="Times New Roman"/>
          <w:color w:val="auto"/>
        </w:rPr>
        <w:t>.</w:t>
      </w:r>
    </w:p>
    <w:p w14:paraId="7F9BAFFB" w14:textId="77777777" w:rsidR="0073337A" w:rsidRPr="0092099A" w:rsidRDefault="0073337A" w:rsidP="0073337A">
      <w:pPr>
        <w:pStyle w:val="Default"/>
        <w:spacing w:line="360" w:lineRule="auto"/>
        <w:jc w:val="both"/>
        <w:rPr>
          <w:rFonts w:eastAsia="Times New Roman"/>
          <w:color w:val="auto"/>
          <w:highlight w:val="yellow"/>
        </w:rPr>
      </w:pPr>
    </w:p>
    <w:p w14:paraId="12BB29F2" w14:textId="77777777" w:rsidR="0073337A" w:rsidRPr="00966F30"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3144E2D6" w14:textId="77777777" w:rsidR="0073337A" w:rsidRPr="00966F30" w:rsidRDefault="0073337A" w:rsidP="00B2057A">
      <w:pPr>
        <w:pStyle w:val="Default"/>
        <w:numPr>
          <w:ilvl w:val="1"/>
          <w:numId w:val="23"/>
        </w:numPr>
        <w:spacing w:line="360" w:lineRule="auto"/>
        <w:ind w:left="0" w:firstLine="0"/>
        <w:jc w:val="both"/>
        <w:rPr>
          <w:rFonts w:eastAsiaTheme="minorEastAsia"/>
          <w:b/>
          <w:bCs/>
          <w:color w:val="auto"/>
        </w:rPr>
      </w:pPr>
      <w:r w:rsidRPr="00966F30">
        <w:rPr>
          <w:rFonts w:eastAsiaTheme="minorEastAsia"/>
          <w:b/>
          <w:bCs/>
          <w:color w:val="auto"/>
        </w:rPr>
        <w:t>Da Fundamentação da Contratação</w:t>
      </w:r>
    </w:p>
    <w:p w14:paraId="3ABEEEE1" w14:textId="77777777" w:rsidR="0073337A" w:rsidRPr="00BB7F70" w:rsidRDefault="0073337A" w:rsidP="00B2057A">
      <w:pPr>
        <w:pStyle w:val="Default"/>
        <w:numPr>
          <w:ilvl w:val="2"/>
          <w:numId w:val="23"/>
        </w:numPr>
        <w:spacing w:line="360" w:lineRule="auto"/>
        <w:ind w:left="0" w:firstLine="0"/>
        <w:jc w:val="both"/>
        <w:rPr>
          <w:rFonts w:eastAsia="Times New Roman"/>
          <w:color w:val="000000" w:themeColor="text1"/>
        </w:rPr>
      </w:pPr>
      <w:r w:rsidRPr="00BB7F70">
        <w:rPr>
          <w:rFonts w:eastAsia="Times New Roman"/>
          <w:color w:val="auto"/>
        </w:rPr>
        <w:t>A Fundamentação da Contratação e de seus quantitativos está pormenorizada em Tópico específico dos Estudos Técnicos Preliminare</w:t>
      </w:r>
      <w:r w:rsidRPr="00BB7F70">
        <w:rPr>
          <w:rFonts w:eastAsiaTheme="minorEastAsia"/>
          <w:color w:val="auto"/>
        </w:rPr>
        <w:t>s – ETP, SEI nº 0834635</w:t>
      </w:r>
      <w:r>
        <w:rPr>
          <w:rFonts w:eastAsiaTheme="minorEastAsia"/>
          <w:color w:val="auto"/>
        </w:rPr>
        <w:t xml:space="preserve"> e ETP </w:t>
      </w:r>
      <w:r w:rsidRPr="0092099A">
        <w:rPr>
          <w:rFonts w:eastAsiaTheme="minorEastAsia"/>
          <w:color w:val="auto"/>
        </w:rPr>
        <w:t xml:space="preserve">SEI nº </w:t>
      </w:r>
      <w:r w:rsidRPr="00F43EFE">
        <w:rPr>
          <w:rFonts w:eastAsiaTheme="minorEastAsia"/>
          <w:color w:val="auto"/>
        </w:rPr>
        <w:t>0835730</w:t>
      </w:r>
      <w:r>
        <w:rPr>
          <w:rFonts w:eastAsiaTheme="minorEastAsia"/>
          <w:color w:val="auto"/>
        </w:rPr>
        <w:t>.</w:t>
      </w:r>
    </w:p>
    <w:p w14:paraId="49DEFDFC" w14:textId="77777777" w:rsidR="0073337A" w:rsidRPr="00BB4E7A" w:rsidRDefault="0073337A" w:rsidP="00B2057A">
      <w:pPr>
        <w:pStyle w:val="Default"/>
        <w:numPr>
          <w:ilvl w:val="2"/>
          <w:numId w:val="23"/>
        </w:numPr>
        <w:spacing w:line="360" w:lineRule="auto"/>
        <w:ind w:left="0" w:firstLine="0"/>
        <w:jc w:val="both"/>
        <w:rPr>
          <w:rFonts w:eastAsia="Times New Roman"/>
          <w:color w:val="000000" w:themeColor="text1"/>
        </w:rPr>
      </w:pPr>
      <w:r w:rsidRPr="00BB4E7A">
        <w:rPr>
          <w:rFonts w:eastAsia="Times New Roman"/>
          <w:color w:val="auto"/>
        </w:rPr>
        <w:t xml:space="preserve">A demanda consiste na contratação de duas consultorias técnicas, uma para a análise do projeto básico arquitetônico desenvolvido para a construção da futura sede própria do CNMP e outra para </w:t>
      </w:r>
      <w:r w:rsidRPr="00BB4E7A">
        <w:t>a proposição de soluções para ambientes específicos da sede atual do CNMP.</w:t>
      </w:r>
    </w:p>
    <w:p w14:paraId="0AC29AFF" w14:textId="77777777" w:rsidR="0073337A" w:rsidRPr="00BB7F70" w:rsidRDefault="0073337A" w:rsidP="00B2057A">
      <w:pPr>
        <w:pStyle w:val="Default"/>
        <w:numPr>
          <w:ilvl w:val="2"/>
          <w:numId w:val="23"/>
        </w:numPr>
        <w:spacing w:line="360" w:lineRule="auto"/>
        <w:ind w:left="0" w:firstLine="0"/>
        <w:jc w:val="both"/>
        <w:rPr>
          <w:rFonts w:eastAsia="Times New Roman"/>
          <w:color w:val="000000" w:themeColor="text1"/>
        </w:rPr>
      </w:pPr>
      <w:r w:rsidRPr="006A78BA">
        <w:rPr>
          <w:rFonts w:eastAsia="Times New Roman"/>
          <w:color w:val="auto"/>
        </w:rPr>
        <w:t>Para a futura sede, a</w:t>
      </w:r>
      <w:r w:rsidRPr="00BB7F70">
        <w:rPr>
          <w:rFonts w:eastAsia="Times New Roman"/>
          <w:color w:val="auto"/>
        </w:rPr>
        <w:t xml:space="preserve"> demanda consiste na contratação de consultoria técnica especializada em acústica na análise do projeto básico arquitetônico desenvolvido para a construção da futura sede própria do CNMP</w:t>
      </w:r>
      <w:r>
        <w:rPr>
          <w:rFonts w:eastAsia="Times New Roman"/>
          <w:color w:val="auto"/>
        </w:rPr>
        <w:t>, contemplando o levantamento dos requisitos, a</w:t>
      </w:r>
      <w:r w:rsidRPr="00BB7F70">
        <w:rPr>
          <w:rFonts w:eastAsia="Times New Roman"/>
          <w:color w:val="auto"/>
        </w:rPr>
        <w:t xml:space="preserve"> análise dos ambientes críticos e desenvolvimento de soluções para garantir o conforto e desempenho acústico adequado para cada situação em conformidade com as Normas ABNT NBR 12179 Tratamento acústico em recintos </w:t>
      </w:r>
      <w:r w:rsidRPr="00BB7F70">
        <w:rPr>
          <w:rFonts w:eastAsia="Times New Roman"/>
          <w:color w:val="auto"/>
        </w:rPr>
        <w:lastRenderedPageBreak/>
        <w:t>fechados e ABNT NBR 10152 Acústica – Níveis de pressão sonora em ambientes internos a edificações</w:t>
      </w:r>
      <w:r>
        <w:rPr>
          <w:rFonts w:eastAsia="Times New Roman"/>
          <w:color w:val="auto"/>
        </w:rPr>
        <w:t xml:space="preserve">; </w:t>
      </w:r>
    </w:p>
    <w:p w14:paraId="66C0D212" w14:textId="77777777" w:rsidR="0073337A" w:rsidRDefault="0073337A" w:rsidP="00B2057A">
      <w:pPr>
        <w:pStyle w:val="Default"/>
        <w:numPr>
          <w:ilvl w:val="2"/>
          <w:numId w:val="23"/>
        </w:numPr>
        <w:spacing w:line="360" w:lineRule="auto"/>
        <w:ind w:left="0" w:firstLine="0"/>
        <w:jc w:val="both"/>
        <w:rPr>
          <w:rFonts w:eastAsia="Times New Roman"/>
          <w:color w:val="000000" w:themeColor="text1"/>
        </w:rPr>
      </w:pPr>
      <w:r w:rsidRPr="0092099A">
        <w:rPr>
          <w:rFonts w:eastAsia="Times New Roman"/>
          <w:color w:val="000000" w:themeColor="text1"/>
        </w:rPr>
        <w:t>Conforme previsto no Acordo de Cooperação Técnica e Administrativa (SEI nº 0646541), presente no processo CNMP SEI nº 19.00.5500.0002569/2022-53, entre o Conselho Nacional do Ministério Público – CNMP e o Ministério Público do Distrito Federal e Territórios - MPDFT, as atividades desenvolvidas pela equipe de projetistas do MPDFT não contempla a disciplina de acústica de ambientes, sendo necessário a contratação de consultoria especializada para tratar desse tema</w:t>
      </w:r>
      <w:r>
        <w:rPr>
          <w:rFonts w:eastAsia="Times New Roman"/>
          <w:color w:val="000000" w:themeColor="text1"/>
        </w:rPr>
        <w:t>.</w:t>
      </w:r>
    </w:p>
    <w:p w14:paraId="0E47E78A" w14:textId="77777777" w:rsidR="0073337A" w:rsidRPr="00B85701" w:rsidRDefault="0073337A" w:rsidP="00B2057A">
      <w:pPr>
        <w:pStyle w:val="Default"/>
        <w:numPr>
          <w:ilvl w:val="2"/>
          <w:numId w:val="23"/>
        </w:numPr>
        <w:spacing w:line="360" w:lineRule="auto"/>
        <w:ind w:left="0" w:firstLine="0"/>
        <w:jc w:val="both"/>
        <w:rPr>
          <w:rFonts w:eastAsia="Times New Roman"/>
          <w:color w:val="000000" w:themeColor="text1"/>
        </w:rPr>
      </w:pPr>
      <w:r w:rsidRPr="00B85701">
        <w:rPr>
          <w:rFonts w:eastAsia="Times New Roman"/>
          <w:color w:val="auto"/>
        </w:rPr>
        <w:t>Já para a contratação da consultoria em acústica para a atual sede</w:t>
      </w:r>
      <w:r>
        <w:rPr>
          <w:rFonts w:eastAsia="Times New Roman"/>
          <w:color w:val="auto"/>
        </w:rPr>
        <w:t>,</w:t>
      </w:r>
      <w:r w:rsidRPr="00B85701">
        <w:rPr>
          <w:rFonts w:eastAsia="Times New Roman"/>
          <w:color w:val="auto"/>
        </w:rPr>
        <w:t xml:space="preserve"> a demanda consiste </w:t>
      </w:r>
      <w:r w:rsidRPr="00B85701">
        <w:t xml:space="preserve">na contratação de consultoria técnica especializada em acústica para a proposição de soluções, com a apresentação de </w:t>
      </w:r>
      <w:r>
        <w:t xml:space="preserve">dados para subsidiar posterior </w:t>
      </w:r>
      <w:r w:rsidRPr="00B85701">
        <w:t>estudo de viabilidade técnica e econômica para solucionar os problemas de acústica verificados em determinados ambientes do CNMP de modo a subsidiar posterior decisão do CNMP, visando a elaboração de plano de ação, para adoção e implantação das soluções que se apresentarem viáveis técnica e economicamente.</w:t>
      </w:r>
    </w:p>
    <w:p w14:paraId="778A5B4B" w14:textId="77777777" w:rsidR="0073337A" w:rsidRPr="0092099A" w:rsidRDefault="0073337A" w:rsidP="00B2057A">
      <w:pPr>
        <w:pStyle w:val="Default"/>
        <w:numPr>
          <w:ilvl w:val="2"/>
          <w:numId w:val="23"/>
        </w:numPr>
        <w:spacing w:line="360" w:lineRule="auto"/>
        <w:ind w:left="0" w:firstLine="0"/>
        <w:jc w:val="both"/>
        <w:rPr>
          <w:rFonts w:eastAsia="Times New Roman"/>
          <w:color w:val="000000" w:themeColor="text1"/>
        </w:rPr>
      </w:pPr>
      <w:r w:rsidRPr="0092099A">
        <w:rPr>
          <w:rFonts w:eastAsia="Times New Roman"/>
          <w:color w:val="auto"/>
        </w:rPr>
        <w:t>A consultoria em acústica é imprescindível para se garantir o adequado conforto e desempenho sonoro nos ambientes críticos do CNMP, como Plenário, Auditório e Estúdio; garantir ainda a privacidade acústica nos ambientes em que a confidencialidade das conversas deve ser garantida; bem como atenuar os ruídos advindos de salas de reuniões que possam interferir no conforto acústico dos ambientes de trabalho vizinhos.</w:t>
      </w:r>
    </w:p>
    <w:p w14:paraId="11DD3500" w14:textId="77777777" w:rsidR="0073337A" w:rsidRPr="00966F30" w:rsidRDefault="0073337A" w:rsidP="00B2057A">
      <w:pPr>
        <w:pStyle w:val="Default"/>
        <w:numPr>
          <w:ilvl w:val="2"/>
          <w:numId w:val="23"/>
        </w:numPr>
        <w:spacing w:line="360" w:lineRule="auto"/>
        <w:ind w:left="0" w:firstLine="0"/>
        <w:jc w:val="both"/>
        <w:rPr>
          <w:rFonts w:eastAsia="Times New Roman"/>
          <w:color w:val="000000" w:themeColor="text1"/>
        </w:rPr>
      </w:pPr>
      <w:r>
        <w:t>A concretização da contratação proporcionará a garantia do conforto aos usuários e do desempenho acústico adequado para os ambientes críticos do CNMP. Também evitará a ocorrência dos riscos identificados para a construção da sede própria do CNMP, visto que futuros problemas, identificados após a entrega da obra, poderão ser tratados ainda na etapa de projeto e as soluções implementadas do decorrer da construção, favorecendo a economia de recursos financeiros.</w:t>
      </w:r>
    </w:p>
    <w:p w14:paraId="6E46F213" w14:textId="77777777" w:rsidR="0073337A" w:rsidRPr="00197B44" w:rsidRDefault="0073337A" w:rsidP="00B2057A">
      <w:pPr>
        <w:pStyle w:val="Default"/>
        <w:numPr>
          <w:ilvl w:val="2"/>
          <w:numId w:val="23"/>
        </w:numPr>
        <w:spacing w:line="360" w:lineRule="auto"/>
        <w:ind w:left="0" w:firstLine="0"/>
        <w:jc w:val="both"/>
        <w:rPr>
          <w:rFonts w:eastAsia="Times New Roman"/>
          <w:color w:val="auto"/>
        </w:rPr>
      </w:pPr>
      <w:r w:rsidRPr="00197B44">
        <w:rPr>
          <w:rFonts w:eastAsia="Times New Roman"/>
          <w:color w:val="auto"/>
        </w:rPr>
        <w:t>A consultoria será contratada por item, sendo um item referente a contratação de consultoria para análise dos projetos da futura sede do CNMP, e outro item para a contratação de consultoria para proposição de soluções para a sede atual. O parcelamento é conveniente pois, apesar de serem as duas consultorias em acústica, o escopo é bastante diferenciado em relação a dimensão e utilização dos ambientes.</w:t>
      </w:r>
    </w:p>
    <w:p w14:paraId="32C1C222" w14:textId="77777777" w:rsidR="0073337A" w:rsidRPr="00966F30" w:rsidRDefault="0073337A" w:rsidP="00B2057A">
      <w:pPr>
        <w:pStyle w:val="PargrafodaLista"/>
        <w:numPr>
          <w:ilvl w:val="1"/>
          <w:numId w:val="23"/>
        </w:numPr>
        <w:spacing w:line="360" w:lineRule="auto"/>
        <w:ind w:left="0" w:firstLine="0"/>
        <w:jc w:val="both"/>
        <w:rPr>
          <w:rFonts w:ascii="Times New Roman" w:hAnsi="Times New Roman" w:cs="Times New Roman"/>
          <w:b/>
          <w:bCs/>
        </w:rPr>
      </w:pPr>
      <w:r w:rsidRPr="00966F30">
        <w:rPr>
          <w:rFonts w:ascii="Times New Roman" w:hAnsi="Times New Roman" w:cs="Times New Roman"/>
          <w:b/>
          <w:bCs/>
        </w:rPr>
        <w:t>Da Conexão Entre a Contratação e o Planejamento Existente</w:t>
      </w:r>
    </w:p>
    <w:p w14:paraId="4E415650" w14:textId="77777777" w:rsidR="0073337A" w:rsidRPr="00741055" w:rsidRDefault="0073337A" w:rsidP="00B2057A">
      <w:pPr>
        <w:pStyle w:val="Default"/>
        <w:numPr>
          <w:ilvl w:val="2"/>
          <w:numId w:val="23"/>
        </w:numPr>
        <w:spacing w:line="360" w:lineRule="auto"/>
        <w:ind w:left="0" w:firstLine="0"/>
        <w:jc w:val="both"/>
        <w:rPr>
          <w:rFonts w:eastAsia="Times New Roman"/>
          <w:color w:val="auto"/>
        </w:rPr>
      </w:pPr>
      <w:r w:rsidRPr="00741055">
        <w:rPr>
          <w:rFonts w:eastAsiaTheme="minorEastAsia"/>
        </w:rPr>
        <w:lastRenderedPageBreak/>
        <w:t xml:space="preserve">A presente contratação está atrelada à ação PG_23_COENG_034: "Consultoria técnica ao MPDFT para elaboração do projeto da sede própria do CNMP: Acústica de Ambientes", e à ação </w:t>
      </w:r>
      <w:r w:rsidRPr="00741055">
        <w:rPr>
          <w:rFonts w:eastAsia="Times New Roman"/>
          <w:color w:val="auto"/>
        </w:rPr>
        <w:t>PG_23_COENG_023 - "Projeto para melhoria da acústica em salas de reuniões e salas estratégicas do CNMP", inseridas no Plano de Gestão para o exercício de 2023.</w:t>
      </w:r>
    </w:p>
    <w:p w14:paraId="3B990B3D" w14:textId="77777777" w:rsidR="0073337A" w:rsidRPr="00966F30" w:rsidRDefault="0073337A" w:rsidP="0073337A">
      <w:pPr>
        <w:pStyle w:val="PargrafodaLista"/>
        <w:spacing w:line="360" w:lineRule="auto"/>
        <w:ind w:left="0"/>
        <w:jc w:val="both"/>
        <w:rPr>
          <w:rFonts w:ascii="Times New Roman" w:eastAsia="Times New Roman" w:hAnsi="Times New Roman" w:cs="Times New Roman"/>
        </w:rPr>
      </w:pPr>
    </w:p>
    <w:p w14:paraId="7950E445" w14:textId="77777777" w:rsidR="0073337A" w:rsidRPr="00F56FBA" w:rsidRDefault="0073337A" w:rsidP="00B2057A">
      <w:pPr>
        <w:pStyle w:val="PargrafodaLista"/>
        <w:numPr>
          <w:ilvl w:val="1"/>
          <w:numId w:val="23"/>
        </w:numPr>
        <w:spacing w:line="360" w:lineRule="auto"/>
        <w:ind w:left="0" w:firstLine="0"/>
        <w:jc w:val="both"/>
        <w:rPr>
          <w:rFonts w:ascii="Times New Roman" w:eastAsia="Times New Roman" w:hAnsi="Times New Roman" w:cs="Times New Roman"/>
          <w:b/>
          <w:bCs/>
        </w:rPr>
      </w:pPr>
      <w:r w:rsidRPr="00F56FBA">
        <w:rPr>
          <w:rFonts w:ascii="Times New Roman" w:hAnsi="Times New Roman" w:cs="Times New Roman"/>
          <w:b/>
          <w:bCs/>
        </w:rPr>
        <w:t xml:space="preserve">Da Ausência de Critérios de Sustentabilidade </w:t>
      </w:r>
    </w:p>
    <w:p w14:paraId="2F52255A" w14:textId="77777777" w:rsidR="0073337A" w:rsidRPr="00F56FBA" w:rsidRDefault="0073337A" w:rsidP="00B2057A">
      <w:pPr>
        <w:pStyle w:val="PargrafodaLista"/>
        <w:numPr>
          <w:ilvl w:val="2"/>
          <w:numId w:val="23"/>
        </w:numPr>
        <w:spacing w:line="360" w:lineRule="auto"/>
        <w:ind w:left="0" w:firstLine="0"/>
        <w:jc w:val="both"/>
        <w:rPr>
          <w:rFonts w:ascii="Times New Roman" w:eastAsia="Times New Roman" w:hAnsi="Times New Roman" w:cs="Times New Roman"/>
        </w:rPr>
      </w:pPr>
      <w:r w:rsidRPr="00F56FBA">
        <w:rPr>
          <w:rFonts w:ascii="Times New Roman" w:eastAsia="Times New Roman" w:hAnsi="Times New Roman" w:cs="Times New Roman"/>
        </w:rPr>
        <w:t>Em razão da natureza da prestação dos serviços – Prestação de Serviços de Consultoria Técnica, não se aplica a adoção de critérios e práticas de sustentabilidade na contratação em questão.</w:t>
      </w:r>
    </w:p>
    <w:p w14:paraId="7D6FB1F4" w14:textId="77777777" w:rsidR="0073337A" w:rsidRPr="00FC4983" w:rsidRDefault="0073337A" w:rsidP="00B2057A">
      <w:pPr>
        <w:pStyle w:val="PargrafodaLista"/>
        <w:numPr>
          <w:ilvl w:val="1"/>
          <w:numId w:val="23"/>
        </w:numPr>
        <w:spacing w:line="360" w:lineRule="auto"/>
        <w:ind w:left="0" w:firstLine="0"/>
        <w:jc w:val="both"/>
        <w:rPr>
          <w:rFonts w:ascii="Times New Roman" w:hAnsi="Times New Roman" w:cs="Times New Roman"/>
          <w:b/>
          <w:bCs/>
        </w:rPr>
      </w:pPr>
      <w:r w:rsidRPr="00FC4983">
        <w:rPr>
          <w:rFonts w:ascii="Times New Roman" w:hAnsi="Times New Roman" w:cs="Times New Roman"/>
          <w:b/>
          <w:bCs/>
        </w:rPr>
        <w:t xml:space="preserve">Da Inexigibilidade ou da Dispensa de Licitação </w:t>
      </w:r>
    </w:p>
    <w:p w14:paraId="410AC9B0" w14:textId="77777777" w:rsidR="0073337A" w:rsidRPr="00FC4983" w:rsidRDefault="0073337A" w:rsidP="00B2057A">
      <w:pPr>
        <w:pStyle w:val="PargrafodaLista"/>
        <w:numPr>
          <w:ilvl w:val="2"/>
          <w:numId w:val="23"/>
        </w:numPr>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t>D</w:t>
      </w:r>
      <w:r w:rsidRPr="001A6014">
        <w:rPr>
          <w:rFonts w:ascii="Times New Roman" w:eastAsia="Times New Roman" w:hAnsi="Times New Roman" w:cs="Times New Roman"/>
        </w:rPr>
        <w:t xml:space="preserve">e acordo com </w:t>
      </w:r>
      <w:r>
        <w:rPr>
          <w:rFonts w:ascii="Times New Roman" w:eastAsia="Times New Roman" w:hAnsi="Times New Roman" w:cs="Times New Roman"/>
        </w:rPr>
        <w:t>o previsto no inciso I do</w:t>
      </w:r>
      <w:r w:rsidRPr="001A6014">
        <w:rPr>
          <w:rFonts w:ascii="Times New Roman" w:eastAsia="Times New Roman" w:hAnsi="Times New Roman" w:cs="Times New Roman"/>
        </w:rPr>
        <w:t xml:space="preserve"> artigo 75 da Lei 14.133/2021</w:t>
      </w:r>
      <w:r>
        <w:rPr>
          <w:rFonts w:ascii="Times New Roman" w:eastAsia="Times New Roman" w:hAnsi="Times New Roman" w:cs="Times New Roman"/>
        </w:rPr>
        <w:t>: “</w:t>
      </w:r>
      <w:r w:rsidRPr="00226E02">
        <w:rPr>
          <w:rFonts w:ascii="Times New Roman" w:eastAsia="Times New Roman" w:hAnsi="Times New Roman" w:cs="Times New Roman"/>
          <w:i/>
          <w:iCs/>
        </w:rPr>
        <w:t>É dispensável a licitação para contratação que envolva valores inferiores a R$ 100.000,00 (cem mil reais), no caso de obras e serviços de engenharia ou de serviços de manutenção de veículos automotores</w:t>
      </w:r>
      <w:r>
        <w:rPr>
          <w:rFonts w:ascii="Times New Roman" w:eastAsia="Times New Roman" w:hAnsi="Times New Roman" w:cs="Times New Roman"/>
          <w:i/>
          <w:iCs/>
        </w:rPr>
        <w:t>”</w:t>
      </w:r>
      <w:r w:rsidRPr="6E268448">
        <w:rPr>
          <w:rFonts w:ascii="Times New Roman" w:eastAsia="Times New Roman" w:hAnsi="Times New Roman" w:cs="Times New Roman"/>
        </w:rPr>
        <w:t>.</w:t>
      </w:r>
    </w:p>
    <w:p w14:paraId="55E83C14" w14:textId="77777777" w:rsidR="0073337A" w:rsidRPr="00C275FA" w:rsidRDefault="0073337A" w:rsidP="0073337A">
      <w:pPr>
        <w:pStyle w:val="Default"/>
        <w:spacing w:line="360" w:lineRule="auto"/>
        <w:ind w:firstLine="720"/>
        <w:jc w:val="both"/>
        <w:rPr>
          <w:rFonts w:eastAsia="Times New Roman"/>
          <w:color w:val="auto"/>
        </w:rPr>
      </w:pPr>
    </w:p>
    <w:p w14:paraId="4955AE9F"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4E79D129">
        <w:rPr>
          <w:rFonts w:eastAsia="Times New Roman"/>
          <w:b/>
          <w:bCs/>
          <w:color w:val="auto"/>
        </w:rPr>
        <w:t>DESCRIÇÃO DO OBJETO</w:t>
      </w:r>
    </w:p>
    <w:p w14:paraId="7718DE0E" w14:textId="77777777" w:rsidR="0073337A" w:rsidRPr="00CB3D0A" w:rsidRDefault="0073337A" w:rsidP="00B2057A">
      <w:pPr>
        <w:pStyle w:val="Default"/>
        <w:numPr>
          <w:ilvl w:val="1"/>
          <w:numId w:val="23"/>
        </w:numPr>
        <w:spacing w:line="360" w:lineRule="auto"/>
        <w:ind w:left="0" w:firstLine="0"/>
        <w:jc w:val="both"/>
        <w:rPr>
          <w:rFonts w:eastAsia="Times New Roman"/>
          <w:color w:val="auto"/>
        </w:rPr>
      </w:pPr>
      <w:r w:rsidRPr="00CB3D0A">
        <w:rPr>
          <w:rFonts w:eastAsia="Times New Roman"/>
          <w:color w:val="auto"/>
        </w:rPr>
        <w:t>O objeto dessa contratação é composto por dois itens.</w:t>
      </w:r>
    </w:p>
    <w:p w14:paraId="100BA631" w14:textId="77777777" w:rsidR="0073337A" w:rsidRPr="00CB3D0A" w:rsidRDefault="0073337A" w:rsidP="00B2057A">
      <w:pPr>
        <w:pStyle w:val="Default"/>
        <w:numPr>
          <w:ilvl w:val="1"/>
          <w:numId w:val="23"/>
        </w:numPr>
        <w:spacing w:line="360" w:lineRule="auto"/>
        <w:ind w:left="0" w:firstLine="0"/>
        <w:jc w:val="both"/>
        <w:rPr>
          <w:rFonts w:eastAsia="Times New Roman"/>
          <w:color w:val="auto"/>
        </w:rPr>
      </w:pPr>
      <w:r w:rsidRPr="00CB3D0A">
        <w:rPr>
          <w:rFonts w:eastAsia="Times New Roman"/>
          <w:b/>
          <w:bCs/>
          <w:color w:val="auto"/>
        </w:rPr>
        <w:t>Item 01: Consultoria Técnica Especializada para análise do Projeto Básico Arquitetônico da sede própria do CNMP</w:t>
      </w:r>
      <w:r w:rsidRPr="00CB3D0A">
        <w:rPr>
          <w:rFonts w:eastAsia="Times New Roman"/>
          <w:color w:val="auto"/>
        </w:rPr>
        <w:t>:</w:t>
      </w:r>
    </w:p>
    <w:p w14:paraId="29F356E1" w14:textId="77777777" w:rsidR="0073337A" w:rsidRPr="00F70A40" w:rsidRDefault="0073337A" w:rsidP="00B2057A">
      <w:pPr>
        <w:pStyle w:val="Default"/>
        <w:numPr>
          <w:ilvl w:val="2"/>
          <w:numId w:val="23"/>
        </w:numPr>
        <w:spacing w:line="360" w:lineRule="auto"/>
        <w:ind w:left="0" w:firstLine="0"/>
        <w:jc w:val="both"/>
        <w:rPr>
          <w:rFonts w:eastAsia="Times New Roman"/>
        </w:rPr>
      </w:pPr>
      <w:r w:rsidRPr="00F70A40">
        <w:rPr>
          <w:rFonts w:eastAsia="Times New Roman"/>
        </w:rPr>
        <w:t>Contratação de consultoria técnica especializada na análise do projeto básico arquitetônico desenvolvido para a construção da futura sede própria do CNMP com análise dos ambientes críticos e desenvolvimento de soluções para garantir o conforto e desempenho acústico adequado para cada situação em conformidade com as Normas ABNT NBR 12179 Tratamento acústico em recintos fechados e ABNT NBR 10152 Acústica – Níveis de pressão sonora em ambientes internos a edificações.)</w:t>
      </w:r>
    </w:p>
    <w:p w14:paraId="7758CE9A" w14:textId="77777777" w:rsidR="0073337A" w:rsidRPr="00195DEB" w:rsidRDefault="0073337A" w:rsidP="00B2057A">
      <w:pPr>
        <w:pStyle w:val="Default"/>
        <w:numPr>
          <w:ilvl w:val="2"/>
          <w:numId w:val="23"/>
        </w:numPr>
        <w:spacing w:line="360" w:lineRule="auto"/>
        <w:ind w:left="0" w:firstLine="0"/>
        <w:jc w:val="both"/>
        <w:rPr>
          <w:rFonts w:eastAsia="Times New Roman"/>
        </w:rPr>
      </w:pPr>
      <w:r w:rsidRPr="00F70A40">
        <w:rPr>
          <w:rFonts w:eastAsia="Times New Roman"/>
        </w:rPr>
        <w:t xml:space="preserve">Os ambientes que, obrigatoriamente, devem ser contemplados na análise são os </w:t>
      </w:r>
      <w:r w:rsidRPr="00195DEB">
        <w:rPr>
          <w:rFonts w:eastAsia="Times New Roman"/>
        </w:rPr>
        <w:t>elencados a seguir, conforme destacados, também, nos Projetos em Anexo a este Termo.</w:t>
      </w:r>
    </w:p>
    <w:p w14:paraId="24FAD41F" w14:textId="77777777" w:rsidR="0073337A" w:rsidRPr="00F70A40" w:rsidRDefault="0073337A" w:rsidP="00B2057A">
      <w:pPr>
        <w:pStyle w:val="Default"/>
        <w:numPr>
          <w:ilvl w:val="2"/>
          <w:numId w:val="23"/>
        </w:numPr>
        <w:spacing w:line="360" w:lineRule="auto"/>
        <w:ind w:left="0" w:firstLine="0"/>
        <w:jc w:val="both"/>
        <w:rPr>
          <w:rFonts w:eastAsia="Times New Roman"/>
        </w:rPr>
      </w:pPr>
      <w:r w:rsidRPr="00F70A40">
        <w:rPr>
          <w:rFonts w:eastAsia="Times New Roman"/>
        </w:rPr>
        <w:t>Ambientes com acesso pelo 1º Subsolo: Plenário, com aproximadamente 700 m2 e 225 lugares para o público; Auditório, com aproximadamente 710 m2 e 359 lugares para o público; e</w:t>
      </w:r>
      <w:r>
        <w:rPr>
          <w:rFonts w:eastAsia="Times New Roman"/>
          <w:color w:val="auto"/>
        </w:rPr>
        <w:t xml:space="preserve"> </w:t>
      </w:r>
      <w:r w:rsidRPr="00DD3514">
        <w:rPr>
          <w:rFonts w:eastAsia="Times New Roman"/>
          <w:color w:val="auto"/>
        </w:rPr>
        <w:t>Estúdio</w:t>
      </w:r>
      <w:r>
        <w:rPr>
          <w:rFonts w:eastAsia="Times New Roman"/>
          <w:color w:val="auto"/>
        </w:rPr>
        <w:t xml:space="preserve"> de gravação, com aproximadamente 50 m</w:t>
      </w:r>
      <w:r>
        <w:rPr>
          <w:rFonts w:eastAsia="Times New Roman"/>
          <w:color w:val="auto"/>
          <w:vertAlign w:val="superscript"/>
        </w:rPr>
        <w:t>2</w:t>
      </w:r>
      <w:r>
        <w:rPr>
          <w:rFonts w:eastAsia="Times New Roman"/>
          <w:color w:val="auto"/>
        </w:rPr>
        <w:t xml:space="preserve"> -</w:t>
      </w:r>
      <w:r w:rsidRPr="00DD3514">
        <w:rPr>
          <w:rFonts w:eastAsia="Times New Roman"/>
          <w:color w:val="auto"/>
        </w:rPr>
        <w:t xml:space="preserve"> Constituem ambientes a serem equipados com sistemas audiovisuais que devem receber tratamento</w:t>
      </w:r>
      <w:r>
        <w:rPr>
          <w:rFonts w:eastAsia="Times New Roman"/>
          <w:color w:val="auto"/>
        </w:rPr>
        <w:t xml:space="preserve"> </w:t>
      </w:r>
      <w:r w:rsidRPr="00DD3514">
        <w:rPr>
          <w:rFonts w:eastAsia="Times New Roman"/>
          <w:color w:val="auto"/>
        </w:rPr>
        <w:t xml:space="preserve">acústico adequado para a realização dos eventos, considerando as características próprias </w:t>
      </w:r>
      <w:r w:rsidRPr="00F70A40">
        <w:rPr>
          <w:rFonts w:eastAsia="Times New Roman"/>
        </w:rPr>
        <w:t xml:space="preserve">de cada </w:t>
      </w:r>
      <w:r w:rsidRPr="00195DEB">
        <w:rPr>
          <w:rFonts w:eastAsia="Times New Roman"/>
        </w:rPr>
        <w:t>ambiente (são identificados na cor verde nos projetos em anexo).</w:t>
      </w:r>
    </w:p>
    <w:p w14:paraId="45A86B93" w14:textId="77777777" w:rsidR="0073337A" w:rsidRPr="00B469C6" w:rsidRDefault="0073337A" w:rsidP="00B2057A">
      <w:pPr>
        <w:pStyle w:val="Default"/>
        <w:numPr>
          <w:ilvl w:val="2"/>
          <w:numId w:val="23"/>
        </w:numPr>
        <w:spacing w:line="360" w:lineRule="auto"/>
        <w:ind w:left="0" w:firstLine="0"/>
        <w:jc w:val="both"/>
        <w:rPr>
          <w:rFonts w:eastAsia="Times New Roman"/>
        </w:rPr>
      </w:pPr>
      <w:r w:rsidRPr="00B469C6">
        <w:rPr>
          <w:rFonts w:eastAsia="Times New Roman"/>
        </w:rPr>
        <w:lastRenderedPageBreak/>
        <w:t>Biblioteca (aproximadamente 125 m2) localizada no 1º subsolo: Deve ser garantido o conforto acústico adequado para o ambiente de leitura e estudo (identificada em laranja nos projetos anexo).</w:t>
      </w:r>
    </w:p>
    <w:p w14:paraId="6933B6B9" w14:textId="77777777" w:rsidR="0073337A" w:rsidRPr="00B469C6" w:rsidRDefault="0073337A" w:rsidP="00B2057A">
      <w:pPr>
        <w:pStyle w:val="Default"/>
        <w:numPr>
          <w:ilvl w:val="2"/>
          <w:numId w:val="23"/>
        </w:numPr>
        <w:spacing w:line="360" w:lineRule="auto"/>
        <w:ind w:left="0" w:firstLine="0"/>
        <w:jc w:val="both"/>
        <w:rPr>
          <w:rFonts w:eastAsia="Times New Roman"/>
        </w:rPr>
      </w:pPr>
      <w:r w:rsidRPr="00B469C6">
        <w:rPr>
          <w:rFonts w:eastAsia="Times New Roman"/>
        </w:rPr>
        <w:t>Salas específicas de atendimento (com área variando de 12 a 22 m</w:t>
      </w:r>
      <w:proofErr w:type="gramStart"/>
      <w:r w:rsidRPr="00B469C6">
        <w:rPr>
          <w:rFonts w:eastAsia="Times New Roman"/>
        </w:rPr>
        <w:t>2 )</w:t>
      </w:r>
      <w:proofErr w:type="gramEnd"/>
      <w:r w:rsidRPr="00B469C6">
        <w:rPr>
          <w:rFonts w:eastAsia="Times New Roman"/>
        </w:rPr>
        <w:t xml:space="preserve"> localizadas no térreo para atendimento confidencial, de modo a preservar a privacidade das conversas, nas unidades da Segurança, Secretaria de Gestão de Pessoas e na Ouvidoria Nacional (identificadas em magenta nos projetos anexo).</w:t>
      </w:r>
    </w:p>
    <w:p w14:paraId="7FF5CC9E" w14:textId="77777777" w:rsidR="0073337A" w:rsidRPr="000A5A1D" w:rsidRDefault="0073337A" w:rsidP="00B2057A">
      <w:pPr>
        <w:pStyle w:val="Default"/>
        <w:numPr>
          <w:ilvl w:val="2"/>
          <w:numId w:val="23"/>
        </w:numPr>
        <w:spacing w:line="360" w:lineRule="auto"/>
        <w:ind w:left="0" w:firstLine="0"/>
        <w:jc w:val="both"/>
        <w:rPr>
          <w:rFonts w:eastAsia="Times New Roman"/>
        </w:rPr>
      </w:pPr>
      <w:r w:rsidRPr="000A5A1D">
        <w:rPr>
          <w:rFonts w:eastAsia="Times New Roman"/>
        </w:rPr>
        <w:t>Salas de reuniões (médias a grandes, aproximadamente de 19 a 40 m2) distribuídas no térreo e 1º Pavimento: Deve ser garantido que os ruídos gerados nesses ambientes não se propaguem em níveis inapropriados para as áreas vizinhas, de modo a se evitar a perturbação e o desconforto acústico dos colaboradores, além de se garantir a privacidade acústica para os participantes das reuniões (identificadas em vermelho nos projetos anexo).</w:t>
      </w:r>
    </w:p>
    <w:p w14:paraId="13B7BB71" w14:textId="77777777" w:rsidR="0073337A" w:rsidRPr="00F70A40" w:rsidRDefault="0073337A" w:rsidP="00B2057A">
      <w:pPr>
        <w:pStyle w:val="Default"/>
        <w:numPr>
          <w:ilvl w:val="2"/>
          <w:numId w:val="23"/>
        </w:numPr>
        <w:spacing w:line="360" w:lineRule="auto"/>
        <w:ind w:left="0" w:firstLine="0"/>
        <w:jc w:val="both"/>
        <w:rPr>
          <w:rFonts w:eastAsia="Times New Roman"/>
        </w:rPr>
      </w:pPr>
      <w:bookmarkStart w:id="6" w:name="_Hlk139634363"/>
      <w:r w:rsidRPr="00F70A40">
        <w:rPr>
          <w:rFonts w:eastAsia="Times New Roman"/>
        </w:rPr>
        <w:t>Estudo da situação mais crítica considerando os</w:t>
      </w:r>
      <w:bookmarkEnd w:id="6"/>
      <w:r w:rsidRPr="00F70A40">
        <w:rPr>
          <w:rFonts w:eastAsia="Times New Roman"/>
        </w:rPr>
        <w:t xml:space="preserve"> gabinetes das autoridades no 1º Pavimento: Gabinete Presidência (aproximadamente 100 m2), Gabinete Corregedor (aproximadamente 47 m2), Gabinete Conselheiro (aproximadamente 47 m2) de 1 a 15 (total de 15 salas para Conselheiros) e Gabinete Privativo SG (aproximadamente 58 m2): Ambientes em que a privacidade acústica deve ser garantida.</w:t>
      </w:r>
    </w:p>
    <w:p w14:paraId="0A9EA337" w14:textId="77777777" w:rsidR="0073337A" w:rsidRPr="000A5A1D" w:rsidRDefault="0073337A" w:rsidP="00B2057A">
      <w:pPr>
        <w:pStyle w:val="Default"/>
        <w:numPr>
          <w:ilvl w:val="1"/>
          <w:numId w:val="23"/>
        </w:numPr>
        <w:spacing w:line="360" w:lineRule="auto"/>
        <w:ind w:left="0" w:firstLine="0"/>
        <w:jc w:val="both"/>
        <w:rPr>
          <w:rFonts w:eastAsia="Times New Roman"/>
          <w:b/>
          <w:bCs/>
          <w:color w:val="auto"/>
        </w:rPr>
      </w:pPr>
      <w:r w:rsidRPr="000A5A1D">
        <w:rPr>
          <w:rFonts w:eastAsia="Times New Roman"/>
          <w:b/>
          <w:bCs/>
          <w:color w:val="auto"/>
        </w:rPr>
        <w:t xml:space="preserve">Item 02: Consultoria Técnica Especializada para </w:t>
      </w:r>
      <w:r w:rsidRPr="000A5A1D">
        <w:rPr>
          <w:b/>
          <w:bCs/>
        </w:rPr>
        <w:t>a proposição de soluções para determinados ambientes da sede atual do CNMP:</w:t>
      </w:r>
    </w:p>
    <w:p w14:paraId="02E81B33" w14:textId="77777777" w:rsidR="0073337A" w:rsidRPr="00F70A40" w:rsidRDefault="0073337A" w:rsidP="00B2057A">
      <w:pPr>
        <w:pStyle w:val="Default"/>
        <w:numPr>
          <w:ilvl w:val="2"/>
          <w:numId w:val="23"/>
        </w:numPr>
        <w:spacing w:line="360" w:lineRule="auto"/>
        <w:ind w:left="0" w:firstLine="0"/>
        <w:jc w:val="both"/>
        <w:rPr>
          <w:rFonts w:eastAsia="Times New Roman"/>
        </w:rPr>
      </w:pPr>
      <w:r w:rsidRPr="00F70A40">
        <w:rPr>
          <w:rFonts w:eastAsia="Times New Roman"/>
        </w:rPr>
        <w:t>Contratação de consultoria técnica especializada na análise dos ambientes críticos do edifício sede atual do CNMP, e desenvolvimento de soluções para garantir o conforto e desempenho acústico adequado para cada situação em conformidade com as Normas ABNT NBR 12179 Tratamento acústico em recintos fechados e ABNT NBR 10152 Acústica – Níveis de pressão sonora em ambientes internos a edificações. Os ambientes que, obrigatoriamente, devem ser contemplados na análise são os elencados a seguir:</w:t>
      </w:r>
    </w:p>
    <w:p w14:paraId="1D681912" w14:textId="77777777" w:rsidR="0073337A" w:rsidRDefault="0073337A" w:rsidP="00B2057A">
      <w:pPr>
        <w:pStyle w:val="Default"/>
        <w:numPr>
          <w:ilvl w:val="2"/>
          <w:numId w:val="23"/>
        </w:numPr>
        <w:spacing w:line="360" w:lineRule="auto"/>
        <w:ind w:left="0" w:firstLine="0"/>
        <w:jc w:val="both"/>
        <w:rPr>
          <w:rFonts w:eastAsia="Times New Roman"/>
        </w:rPr>
      </w:pPr>
      <w:r w:rsidRPr="00CE3467">
        <w:rPr>
          <w:rFonts w:eastAsia="Times New Roman"/>
        </w:rPr>
        <w:t>Plenário (258 m</w:t>
      </w:r>
      <w:r w:rsidRPr="00CE3467">
        <w:rPr>
          <w:rFonts w:eastAsia="Times New Roman"/>
          <w:vertAlign w:val="superscript"/>
        </w:rPr>
        <w:t>2</w:t>
      </w:r>
      <w:r w:rsidRPr="00CE3467">
        <w:rPr>
          <w:rFonts w:eastAsia="Times New Roman"/>
        </w:rPr>
        <w:t>):</w:t>
      </w:r>
      <w:r w:rsidRPr="00F70A40">
        <w:rPr>
          <w:rFonts w:eastAsia="Times New Roman"/>
        </w:rPr>
        <w:t xml:space="preserve">  Prever aplicação com propriedades de atenuação acústica no piso de forma a evitar ruídos decorrentes da movimentação de pessoas, carrinhos e demais objetos sobre o piso. </w:t>
      </w:r>
    </w:p>
    <w:p w14:paraId="3D967B18" w14:textId="77777777" w:rsidR="0073337A" w:rsidRPr="00F70A40" w:rsidRDefault="0073337A" w:rsidP="00B2057A">
      <w:pPr>
        <w:pStyle w:val="Default"/>
        <w:numPr>
          <w:ilvl w:val="2"/>
          <w:numId w:val="23"/>
        </w:numPr>
        <w:spacing w:line="360" w:lineRule="auto"/>
        <w:ind w:left="0" w:firstLine="0"/>
        <w:jc w:val="both"/>
        <w:rPr>
          <w:rFonts w:eastAsia="Times New Roman"/>
        </w:rPr>
      </w:pPr>
      <w:r w:rsidRPr="00F70A40">
        <w:rPr>
          <w:rFonts w:eastAsia="Times New Roman"/>
        </w:rPr>
        <w:t>Estúdio</w:t>
      </w:r>
      <w:r>
        <w:rPr>
          <w:rFonts w:eastAsia="Times New Roman"/>
        </w:rPr>
        <w:t xml:space="preserve"> (50 m</w:t>
      </w:r>
      <w:r>
        <w:rPr>
          <w:rFonts w:eastAsia="Times New Roman"/>
          <w:vertAlign w:val="superscript"/>
        </w:rPr>
        <w:t>2</w:t>
      </w:r>
      <w:r>
        <w:rPr>
          <w:rFonts w:eastAsia="Times New Roman"/>
        </w:rPr>
        <w:t>)</w:t>
      </w:r>
      <w:r w:rsidRPr="00F70A40">
        <w:rPr>
          <w:rFonts w:eastAsia="Times New Roman"/>
        </w:rPr>
        <w:t>: Garantir bloqueio completo dos sons/ruídos, considerando, tanto de fontes externas para o ambiente do estúdio, quanto dos sons originados no próprio estúdio para os ambientes vizinhos.</w:t>
      </w:r>
    </w:p>
    <w:p w14:paraId="50FD10FF" w14:textId="77777777" w:rsidR="0073337A" w:rsidRDefault="0073337A" w:rsidP="00B2057A">
      <w:pPr>
        <w:pStyle w:val="PargrafodaLista"/>
        <w:numPr>
          <w:ilvl w:val="2"/>
          <w:numId w:val="23"/>
        </w:numPr>
        <w:spacing w:line="360" w:lineRule="auto"/>
        <w:ind w:left="0" w:firstLine="0"/>
        <w:jc w:val="both"/>
        <w:rPr>
          <w:rFonts w:ascii="Times New Roman" w:eastAsia="Times New Roman" w:hAnsi="Times New Roman" w:cs="Times New Roman"/>
        </w:rPr>
      </w:pPr>
      <w:r w:rsidRPr="00640994">
        <w:rPr>
          <w:rFonts w:ascii="Times New Roman" w:eastAsia="Times New Roman" w:hAnsi="Times New Roman" w:cs="Times New Roman"/>
        </w:rPr>
        <w:lastRenderedPageBreak/>
        <w:t>Biblioteca</w:t>
      </w:r>
      <w:r>
        <w:rPr>
          <w:rFonts w:ascii="Times New Roman" w:eastAsia="Times New Roman" w:hAnsi="Times New Roman" w:cs="Times New Roman"/>
        </w:rPr>
        <w:t xml:space="preserve"> (106 m</w:t>
      </w:r>
      <w:r>
        <w:rPr>
          <w:rFonts w:ascii="Times New Roman" w:eastAsia="Times New Roman" w:hAnsi="Times New Roman" w:cs="Times New Roman"/>
          <w:vertAlign w:val="superscript"/>
        </w:rPr>
        <w:t>2</w:t>
      </w:r>
      <w:r>
        <w:rPr>
          <w:rFonts w:ascii="Times New Roman" w:eastAsia="Times New Roman" w:hAnsi="Times New Roman" w:cs="Times New Roman"/>
        </w:rPr>
        <w:t>)</w:t>
      </w:r>
      <w:r w:rsidRPr="00640994">
        <w:rPr>
          <w:rFonts w:ascii="Times New Roman" w:eastAsia="Times New Roman" w:hAnsi="Times New Roman" w:cs="Times New Roman"/>
        </w:rPr>
        <w:t>: Deve ser garantido o conforto acústico adequado para o ambiente de leitura e estudo. Bem como tratamento para a sala de estudos individuais que faz divisa com ambiente de trabalho de outra unidade, de modo a se evitar a perturbação e o desconforto acústico dos usuários.</w:t>
      </w:r>
    </w:p>
    <w:p w14:paraId="1781F934" w14:textId="77777777" w:rsidR="0073337A" w:rsidRDefault="0073337A" w:rsidP="00B2057A">
      <w:pPr>
        <w:pStyle w:val="PargrafodaLista"/>
        <w:numPr>
          <w:ilvl w:val="2"/>
          <w:numId w:val="23"/>
        </w:numPr>
        <w:spacing w:line="360" w:lineRule="auto"/>
        <w:ind w:left="0" w:firstLine="0"/>
        <w:jc w:val="both"/>
        <w:rPr>
          <w:rFonts w:ascii="Times New Roman" w:eastAsia="Times New Roman" w:hAnsi="Times New Roman" w:cs="Times New Roman"/>
        </w:rPr>
      </w:pPr>
      <w:r w:rsidRPr="00640994">
        <w:rPr>
          <w:rFonts w:ascii="Times New Roman" w:eastAsia="Times New Roman" w:hAnsi="Times New Roman" w:cs="Times New Roman"/>
        </w:rPr>
        <w:t>Salas de reuniões distribuídas no Pavimento Semienterrado, Pavimento Térreo, 1º Pavimento, 2º e Cobertura</w:t>
      </w:r>
      <w:r>
        <w:rPr>
          <w:rFonts w:ascii="Times New Roman" w:eastAsia="Times New Roman" w:hAnsi="Times New Roman" w:cs="Times New Roman"/>
        </w:rPr>
        <w:t xml:space="preserve"> (ambientes com variação de 19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a 67 m</w:t>
      </w:r>
      <w:r>
        <w:rPr>
          <w:rFonts w:ascii="Times New Roman" w:eastAsia="Times New Roman" w:hAnsi="Times New Roman" w:cs="Times New Roman"/>
          <w:vertAlign w:val="superscript"/>
        </w:rPr>
        <w:t>2</w:t>
      </w:r>
      <w:r>
        <w:rPr>
          <w:rFonts w:ascii="Times New Roman" w:eastAsia="Times New Roman" w:hAnsi="Times New Roman" w:cs="Times New Roman"/>
        </w:rPr>
        <w:t>)</w:t>
      </w:r>
      <w:r w:rsidRPr="00640994">
        <w:rPr>
          <w:rFonts w:ascii="Times New Roman" w:eastAsia="Times New Roman" w:hAnsi="Times New Roman" w:cs="Times New Roman"/>
        </w:rPr>
        <w:t>: Deve ser garantido que os ruídos gerados nesses ambientes não se propaguem em níveis inapropriados para as áreas vizinhas, de modo a se evitar a perturbação e o desconforto acústico dos colaboradores, além de se garantir a privacidade acústica para os participantes das reuniões.</w:t>
      </w:r>
    </w:p>
    <w:p w14:paraId="70420F50" w14:textId="77777777" w:rsidR="0073337A" w:rsidRPr="00F70A40" w:rsidRDefault="0073337A" w:rsidP="00B2057A">
      <w:pPr>
        <w:pStyle w:val="PargrafodaLista"/>
        <w:numPr>
          <w:ilvl w:val="2"/>
          <w:numId w:val="23"/>
        </w:numPr>
        <w:spacing w:line="360" w:lineRule="auto"/>
        <w:ind w:left="0" w:firstLine="0"/>
        <w:jc w:val="both"/>
        <w:rPr>
          <w:rFonts w:ascii="Times New Roman" w:eastAsia="Times New Roman" w:hAnsi="Times New Roman" w:cs="Times New Roman"/>
        </w:rPr>
      </w:pPr>
      <w:r w:rsidRPr="007B2163">
        <w:rPr>
          <w:rFonts w:ascii="Times New Roman" w:eastAsia="Times New Roman" w:hAnsi="Times New Roman" w:cs="Times New Roman"/>
        </w:rPr>
        <w:t xml:space="preserve">Estudo da situação mais crítica considerando os </w:t>
      </w:r>
      <w:r>
        <w:rPr>
          <w:rFonts w:ascii="Times New Roman" w:eastAsia="Times New Roman" w:hAnsi="Times New Roman" w:cs="Times New Roman"/>
        </w:rPr>
        <w:t>gabinetes</w:t>
      </w:r>
      <w:r w:rsidRPr="00F70A40">
        <w:rPr>
          <w:rFonts w:ascii="Times New Roman" w:eastAsia="Times New Roman" w:hAnsi="Times New Roman" w:cs="Times New Roman"/>
        </w:rPr>
        <w:t xml:space="preserve"> das autoridades no 2º e 3º Pavimento: Gabinete Presidência, Gabinete Corregedor, Gabinete Conselheiro de 1 a 12 (total de 12 salas para Conselheiros) e Gabinete Privativo SG</w:t>
      </w:r>
      <w:r>
        <w:rPr>
          <w:rFonts w:ascii="Times New Roman" w:eastAsia="Times New Roman" w:hAnsi="Times New Roman" w:cs="Times New Roman"/>
        </w:rPr>
        <w:t xml:space="preserve"> (ambientes com variação de 24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a 46 m</w:t>
      </w:r>
      <w:r>
        <w:rPr>
          <w:rFonts w:ascii="Times New Roman" w:eastAsia="Times New Roman" w:hAnsi="Times New Roman" w:cs="Times New Roman"/>
          <w:vertAlign w:val="superscript"/>
        </w:rPr>
        <w:t>2</w:t>
      </w:r>
      <w:r>
        <w:rPr>
          <w:rFonts w:ascii="Times New Roman" w:eastAsia="Times New Roman" w:hAnsi="Times New Roman" w:cs="Times New Roman"/>
        </w:rPr>
        <w:t>)</w:t>
      </w:r>
      <w:r w:rsidRPr="00F70A40">
        <w:rPr>
          <w:rFonts w:ascii="Times New Roman" w:eastAsia="Times New Roman" w:hAnsi="Times New Roman" w:cs="Times New Roman"/>
        </w:rPr>
        <w:t>: Ambientes em que a privacidade acústica deve ser garantida. Dentre os 14 gabinetes fazer a análise para a situação mais crítica.</w:t>
      </w:r>
    </w:p>
    <w:p w14:paraId="31525E95" w14:textId="77777777" w:rsidR="0073337A" w:rsidRPr="000D1559" w:rsidRDefault="0073337A" w:rsidP="00B2057A">
      <w:pPr>
        <w:pStyle w:val="Default"/>
        <w:numPr>
          <w:ilvl w:val="1"/>
          <w:numId w:val="23"/>
        </w:numPr>
        <w:spacing w:line="360" w:lineRule="auto"/>
        <w:ind w:left="0" w:firstLine="0"/>
        <w:jc w:val="both"/>
        <w:rPr>
          <w:rFonts w:eastAsia="Times New Roman"/>
          <w:b/>
          <w:bCs/>
          <w:color w:val="auto"/>
        </w:rPr>
      </w:pPr>
      <w:r w:rsidRPr="000D1559">
        <w:rPr>
          <w:rFonts w:eastAsia="Times New Roman"/>
          <w:b/>
          <w:bCs/>
          <w:color w:val="auto"/>
        </w:rPr>
        <w:t>Para cada item desse Termo de Referência os serviços devem contemplar as seguintes etapas:</w:t>
      </w:r>
    </w:p>
    <w:p w14:paraId="400350F9" w14:textId="77777777" w:rsidR="0073337A" w:rsidRPr="005006A3" w:rsidRDefault="0073337A" w:rsidP="00B2057A">
      <w:pPr>
        <w:pStyle w:val="Default"/>
        <w:numPr>
          <w:ilvl w:val="1"/>
          <w:numId w:val="23"/>
        </w:numPr>
        <w:spacing w:line="360" w:lineRule="auto"/>
        <w:ind w:left="0" w:firstLine="0"/>
        <w:jc w:val="both"/>
        <w:rPr>
          <w:rFonts w:eastAsia="Times New Roman"/>
          <w:b/>
          <w:bCs/>
          <w:color w:val="auto"/>
        </w:rPr>
      </w:pPr>
      <w:r w:rsidRPr="005006A3">
        <w:rPr>
          <w:rFonts w:eastAsia="Times New Roman"/>
          <w:color w:val="auto"/>
        </w:rPr>
        <w:t xml:space="preserve">Etapa 01: </w:t>
      </w:r>
      <w:r w:rsidRPr="00242C19">
        <w:rPr>
          <w:rFonts w:eastAsia="Times New Roman"/>
          <w:color w:val="auto"/>
        </w:rPr>
        <w:t>Os serviços devem contemplar a quantidade de reuniões necessárias, incluindo reuniões/vistorias presenciais, para a troca de informações com a CONTRATANTE e/ou projetistas para o adequado entendimento dos resultados esperados para cada ambiente e para realizar o mapeamento das informações das características físicas necessárias das edificações, de forma que o CONTRATANTE possa reunir a documentação relacionada e encaminhar o referido material à CONTRATADA. As reuniões, quando necessário, podem envolver outros profissionais nas especificações das soluções, como na especificação das soluções audiovisuais que contemplem equipamentos de áudio na solução para o projeto da futura sede</w:t>
      </w:r>
      <w:r w:rsidRPr="005006A3">
        <w:rPr>
          <w:rFonts w:eastAsia="Times New Roman"/>
          <w:color w:val="auto"/>
        </w:rPr>
        <w:t xml:space="preserve">. </w:t>
      </w:r>
    </w:p>
    <w:p w14:paraId="5A4627F0" w14:textId="77777777" w:rsidR="0073337A" w:rsidRPr="005006A3" w:rsidRDefault="0073337A" w:rsidP="00B2057A">
      <w:pPr>
        <w:pStyle w:val="Default"/>
        <w:numPr>
          <w:ilvl w:val="2"/>
          <w:numId w:val="23"/>
        </w:numPr>
        <w:spacing w:line="360" w:lineRule="auto"/>
        <w:ind w:left="2160"/>
        <w:jc w:val="both"/>
        <w:rPr>
          <w:rFonts w:eastAsia="Times New Roman"/>
          <w:b/>
          <w:bCs/>
          <w:color w:val="auto"/>
        </w:rPr>
      </w:pPr>
      <w:r w:rsidRPr="005006A3">
        <w:rPr>
          <w:rFonts w:eastAsia="Times New Roman"/>
          <w:color w:val="auto"/>
        </w:rPr>
        <w:t>Como resultado dessa etapa, deverá ser apresentado relatório da avaliação prévia realizada, com o registro do resultado das reuniões, mapeamento dos ambientes a serem contemplados, registro do escopo das análises a serem aplicadas em cada ambiente, bem como, em função da finalidade de cada ambiente, da indicação dos parâmetros e valores de referência dos níveis de pressão sonora a serem considerados nas análises do condicionamento e atenuação sonora.</w:t>
      </w:r>
    </w:p>
    <w:p w14:paraId="507706F7" w14:textId="77777777" w:rsidR="0073337A" w:rsidRPr="005006A3" w:rsidRDefault="0073337A" w:rsidP="00B2057A">
      <w:pPr>
        <w:pStyle w:val="Default"/>
        <w:numPr>
          <w:ilvl w:val="1"/>
          <w:numId w:val="23"/>
        </w:numPr>
        <w:spacing w:line="360" w:lineRule="auto"/>
        <w:ind w:left="0" w:firstLine="0"/>
        <w:jc w:val="both"/>
        <w:rPr>
          <w:rFonts w:eastAsia="Times New Roman"/>
          <w:color w:val="auto"/>
        </w:rPr>
      </w:pPr>
      <w:r w:rsidRPr="005006A3">
        <w:rPr>
          <w:rFonts w:eastAsia="Times New Roman"/>
          <w:color w:val="auto"/>
        </w:rPr>
        <w:lastRenderedPageBreak/>
        <w:t xml:space="preserve">Etapa 02: Deverão ser realizados os estudos, análises e simulações, com cálculos em conformidade com as Normas ABNT NBR 12179 e ABNT NBR 10152 atendendo aos parâmetros de atenuação sonora e condicionamento acústico adequado para cada situação/ambiente, conforme especificados na etapa anterior. As análises contemplarão o cálculo de condicionamento acústico por meio de simulações acústicas para avaliação da redução do nível de ruído, redução do tempo de reverberação por meio do acréscimo de materiais absorventes visando alcançar um nível de desempenho e conforto desejados. </w:t>
      </w:r>
    </w:p>
    <w:p w14:paraId="01531756" w14:textId="77777777" w:rsidR="0073337A" w:rsidRPr="005006A3" w:rsidRDefault="0073337A" w:rsidP="00B2057A">
      <w:pPr>
        <w:pStyle w:val="Default"/>
        <w:numPr>
          <w:ilvl w:val="2"/>
          <w:numId w:val="23"/>
        </w:numPr>
        <w:spacing w:line="360" w:lineRule="auto"/>
        <w:ind w:left="2160"/>
        <w:jc w:val="both"/>
        <w:rPr>
          <w:rFonts w:eastAsia="Times New Roman"/>
          <w:color w:val="auto"/>
        </w:rPr>
      </w:pPr>
      <w:r w:rsidRPr="005006A3">
        <w:rPr>
          <w:rFonts w:eastAsia="Times New Roman"/>
          <w:color w:val="auto"/>
        </w:rPr>
        <w:t>Como resultado dessa análise, deverá ser apresentado o relatório técnico com os cenários avaliados e os respectivos resultados dos estudos realizados, incluindo os modelos computacionais analisados, quando aplicável.</w:t>
      </w:r>
    </w:p>
    <w:p w14:paraId="6BB2FD68" w14:textId="77777777" w:rsidR="0073337A" w:rsidRPr="005006A3" w:rsidRDefault="0073337A" w:rsidP="00B2057A">
      <w:pPr>
        <w:pStyle w:val="Default"/>
        <w:numPr>
          <w:ilvl w:val="1"/>
          <w:numId w:val="23"/>
        </w:numPr>
        <w:spacing w:line="360" w:lineRule="auto"/>
        <w:ind w:left="0" w:firstLine="0"/>
        <w:jc w:val="both"/>
        <w:rPr>
          <w:rFonts w:eastAsia="Times New Roman"/>
          <w:color w:val="auto"/>
        </w:rPr>
      </w:pPr>
      <w:r w:rsidRPr="005006A3">
        <w:rPr>
          <w:rFonts w:eastAsia="Times New Roman"/>
          <w:color w:val="auto"/>
        </w:rPr>
        <w:t>Etapa 03: Finalizados os estudos especificados na etapa anterior, deverá ser elaborado relatório com a descrição dos isolamentos acústicos a serem aplicados em cada ambiente, considerações de compatibilização com projetos complementares (se for o caso), bem como as especificações/características técnicas dos materiais acústicos a serem empregados para o devido tratamento acústico de cada ambiente mapeado.</w:t>
      </w:r>
      <w:r>
        <w:rPr>
          <w:rFonts w:eastAsia="Times New Roman"/>
          <w:color w:val="auto"/>
        </w:rPr>
        <w:t xml:space="preserve"> Em resumo, a CONTRATADA deverá apresentar </w:t>
      </w:r>
      <w:r>
        <w:t xml:space="preserve">as </w:t>
      </w:r>
      <w:r w:rsidRPr="00B85701">
        <w:t>soluções, com a apresentação d</w:t>
      </w:r>
      <w:r>
        <w:t>os</w:t>
      </w:r>
      <w:r w:rsidRPr="00B85701">
        <w:t xml:space="preserve"> </w:t>
      </w:r>
      <w:r>
        <w:t xml:space="preserve">dados para subsidiar posterior </w:t>
      </w:r>
      <w:r w:rsidRPr="00B85701">
        <w:t xml:space="preserve">estudo de viabilidade técnica e econômica </w:t>
      </w:r>
      <w:r>
        <w:t>a ser elaborado pela CONTRATANTE, o qual consiste em etapa futura, sob responsabilidade do próprio CNMP, em que serão elaborados os orçamentos e avaliadas as melhores alternativas, dentre as propostas apresentadas pela CONTRATADA, para cada ambiente em estudo.</w:t>
      </w:r>
    </w:p>
    <w:p w14:paraId="4CB05D57" w14:textId="77777777" w:rsidR="0073337A" w:rsidRPr="008A0850" w:rsidRDefault="0073337A" w:rsidP="0073337A">
      <w:pPr>
        <w:spacing w:line="360" w:lineRule="auto"/>
        <w:jc w:val="both"/>
        <w:rPr>
          <w:rFonts w:ascii="Times New Roman" w:eastAsia="Times New Roman" w:hAnsi="Times New Roman" w:cs="Times New Roman"/>
          <w:color w:val="FF0000"/>
        </w:rPr>
      </w:pPr>
    </w:p>
    <w:p w14:paraId="24F9C0D4"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1C673FE9" w14:textId="77777777" w:rsidR="0073337A" w:rsidRPr="000D1559" w:rsidRDefault="0073337A" w:rsidP="00B2057A">
      <w:pPr>
        <w:pStyle w:val="Default"/>
        <w:numPr>
          <w:ilvl w:val="1"/>
          <w:numId w:val="23"/>
        </w:numPr>
        <w:spacing w:line="360" w:lineRule="auto"/>
        <w:ind w:left="0" w:firstLine="0"/>
        <w:jc w:val="both"/>
        <w:rPr>
          <w:rFonts w:eastAsia="Times New Roman"/>
          <w:color w:val="auto"/>
        </w:rPr>
      </w:pPr>
      <w:r w:rsidRPr="000D1559">
        <w:rPr>
          <w:rFonts w:eastAsia="Times New Roman"/>
          <w:color w:val="auto"/>
        </w:rPr>
        <w:t xml:space="preserve">Os recursos dessa contratação estão consignados no orçamento da União para 2023, no Plano Interno </w:t>
      </w:r>
      <w:r w:rsidRPr="000D1559">
        <w:t>23COENG34</w:t>
      </w:r>
      <w:r>
        <w:t xml:space="preserve"> - </w:t>
      </w:r>
      <w:r w:rsidRPr="00AD2E05">
        <w:t>Consultoria técnica ao MPDFT para elaboração do projeto da sede própria do CNMP</w:t>
      </w:r>
      <w:r w:rsidRPr="000D1559">
        <w:rPr>
          <w:rFonts w:eastAsia="Times New Roman"/>
          <w:color w:val="auto"/>
        </w:rPr>
        <w:t xml:space="preserve">, PTRES </w:t>
      </w:r>
      <w:r w:rsidRPr="000D1559">
        <w:t>195212</w:t>
      </w:r>
      <w:r w:rsidRPr="000D1559">
        <w:rPr>
          <w:rFonts w:eastAsia="Times New Roman"/>
          <w:color w:val="auto"/>
        </w:rPr>
        <w:t xml:space="preserve"> e Natureza de </w:t>
      </w:r>
      <w:proofErr w:type="gramStart"/>
      <w:r w:rsidRPr="000D1559">
        <w:rPr>
          <w:rFonts w:eastAsia="Times New Roman"/>
          <w:color w:val="auto"/>
        </w:rPr>
        <w:t xml:space="preserve">Despesa  </w:t>
      </w:r>
      <w:r w:rsidRPr="000D1559">
        <w:t>3.3.90.35.00</w:t>
      </w:r>
      <w:proofErr w:type="gramEnd"/>
      <w:r w:rsidRPr="000D1559">
        <w:t xml:space="preserve">, e no </w:t>
      </w:r>
      <w:r w:rsidRPr="000D1559">
        <w:rPr>
          <w:rFonts w:eastAsia="Times New Roman"/>
          <w:color w:val="auto"/>
        </w:rPr>
        <w:t xml:space="preserve">Plano Interno </w:t>
      </w:r>
      <w:r w:rsidRPr="000D1559">
        <w:t>23COENG23</w:t>
      </w:r>
      <w:r>
        <w:t xml:space="preserve"> - </w:t>
      </w:r>
      <w:r w:rsidRPr="0030584D">
        <w:t>Projeto para melhoria da acústica em salas de reuniões e salas estratégicas do CNMP</w:t>
      </w:r>
      <w:r w:rsidRPr="000D1559">
        <w:rPr>
          <w:rFonts w:eastAsia="Times New Roman"/>
          <w:color w:val="auto"/>
        </w:rPr>
        <w:t xml:space="preserve">, PTRES </w:t>
      </w:r>
      <w:r>
        <w:rPr>
          <w:rFonts w:eastAsia="Times New Roman"/>
          <w:color w:val="auto"/>
        </w:rPr>
        <w:t>174664</w:t>
      </w:r>
      <w:r w:rsidRPr="000D1559">
        <w:rPr>
          <w:rFonts w:eastAsia="Times New Roman"/>
          <w:color w:val="auto"/>
        </w:rPr>
        <w:t xml:space="preserve"> e Natureza de Despesa  </w:t>
      </w:r>
      <w:r w:rsidRPr="000D1559">
        <w:t>3.3.90.35.00.</w:t>
      </w:r>
    </w:p>
    <w:p w14:paraId="400B9EA4" w14:textId="77777777" w:rsidR="0073337A" w:rsidRPr="00C275FA" w:rsidRDefault="0073337A" w:rsidP="0073337A">
      <w:pPr>
        <w:pStyle w:val="Default"/>
        <w:spacing w:line="360" w:lineRule="auto"/>
        <w:jc w:val="both"/>
        <w:rPr>
          <w:rFonts w:eastAsia="Times New Roman"/>
          <w:color w:val="auto"/>
        </w:rPr>
      </w:pPr>
    </w:p>
    <w:p w14:paraId="18D1E0FB" w14:textId="77777777" w:rsidR="0073337A" w:rsidRPr="006A7800" w:rsidRDefault="0073337A" w:rsidP="00B2057A">
      <w:pPr>
        <w:pStyle w:val="Default"/>
        <w:numPr>
          <w:ilvl w:val="0"/>
          <w:numId w:val="23"/>
        </w:numPr>
        <w:shd w:val="clear" w:color="auto" w:fill="D9D9D9" w:themeFill="background1" w:themeFillShade="D9"/>
        <w:ind w:left="0" w:firstLine="0"/>
        <w:jc w:val="both"/>
        <w:rPr>
          <w:rFonts w:eastAsia="Times New Roman"/>
          <w:b/>
          <w:bCs/>
          <w:caps/>
          <w:color w:val="000000" w:themeColor="text1"/>
        </w:rPr>
      </w:pPr>
      <w:r w:rsidRPr="006A7800">
        <w:rPr>
          <w:rFonts w:eastAsia="Times New Roman"/>
          <w:b/>
          <w:bCs/>
          <w:color w:val="auto"/>
        </w:rPr>
        <w:t xml:space="preserve">VIGÊNCIA DO CONTRATO </w:t>
      </w:r>
    </w:p>
    <w:p w14:paraId="46B0CA23" w14:textId="77777777" w:rsidR="0073337A" w:rsidRPr="00722D62"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O contrato terá vigência de </w:t>
      </w:r>
      <w:r w:rsidRPr="00722D62">
        <w:rPr>
          <w:rFonts w:eastAsia="Times New Roman"/>
          <w:color w:val="auto"/>
        </w:rPr>
        <w:t>12 (doze) meses</w:t>
      </w:r>
      <w:r w:rsidRPr="195F2EF2">
        <w:rPr>
          <w:rFonts w:eastAsia="Times New Roman"/>
          <w:color w:val="auto"/>
        </w:rPr>
        <w:t>, a partir da sua assinatura.</w:t>
      </w:r>
    </w:p>
    <w:p w14:paraId="07476919" w14:textId="77777777" w:rsidR="0073337A" w:rsidRDefault="0073337A" w:rsidP="00B2057A">
      <w:pPr>
        <w:pStyle w:val="PargrafodaLista"/>
        <w:numPr>
          <w:ilvl w:val="1"/>
          <w:numId w:val="23"/>
        </w:numPr>
        <w:spacing w:line="360" w:lineRule="auto"/>
        <w:ind w:left="0" w:firstLine="0"/>
        <w:jc w:val="both"/>
        <w:rPr>
          <w:rFonts w:ascii="Times New Roman" w:eastAsia="Times New Roman" w:hAnsi="Times New Roman" w:cs="Times New Roman"/>
          <w:color w:val="000000" w:themeColor="text1"/>
        </w:rPr>
      </w:pPr>
      <w:r w:rsidRPr="46DABC6B">
        <w:rPr>
          <w:rFonts w:ascii="Times New Roman" w:eastAsia="Times New Roman" w:hAnsi="Times New Roman" w:cs="Times New Roman"/>
        </w:rPr>
        <w:lastRenderedPageBreak/>
        <w:t>O prazo para assinatura do instrumento contratual</w:t>
      </w:r>
      <w:r w:rsidRPr="0C42898F">
        <w:rPr>
          <w:rFonts w:ascii="Times New Roman" w:eastAsia="Times New Roman" w:hAnsi="Times New Roman" w:cs="Times New Roman"/>
        </w:rPr>
        <w:t xml:space="preserve"> ou </w:t>
      </w:r>
      <w:r w:rsidRPr="24F962E5">
        <w:rPr>
          <w:rFonts w:ascii="Times New Roman" w:eastAsia="Times New Roman" w:hAnsi="Times New Roman" w:cs="Times New Roman"/>
        </w:rPr>
        <w:t xml:space="preserve">documento </w:t>
      </w:r>
      <w:r w:rsidRPr="386AD6A7">
        <w:rPr>
          <w:rFonts w:ascii="Times New Roman" w:eastAsia="Times New Roman" w:hAnsi="Times New Roman" w:cs="Times New Roman"/>
        </w:rPr>
        <w:t>equivalente,</w:t>
      </w:r>
      <w:r w:rsidRPr="46DABC6B">
        <w:rPr>
          <w:rFonts w:ascii="Times New Roman" w:eastAsia="Times New Roman" w:hAnsi="Times New Roman" w:cs="Times New Roman"/>
        </w:rPr>
        <w:t xml:space="preserve"> é de 5 (cinco) dias úteis, a contar do recebimento da notificação, sob pena de decair o direito à contratação, sem prejuízo das penalidades previstas no Edital e seus anexos.</w:t>
      </w:r>
    </w:p>
    <w:p w14:paraId="5997A964" w14:textId="77777777" w:rsidR="0073337A" w:rsidRDefault="0073337A" w:rsidP="00B2057A">
      <w:pPr>
        <w:pStyle w:val="PargrafodaLista"/>
        <w:numPr>
          <w:ilvl w:val="2"/>
          <w:numId w:val="23"/>
        </w:numPr>
        <w:spacing w:line="360" w:lineRule="auto"/>
        <w:ind w:left="0" w:firstLine="0"/>
        <w:jc w:val="both"/>
        <w:rPr>
          <w:rFonts w:hint="eastAsia"/>
        </w:rPr>
      </w:pPr>
      <w:r w:rsidRPr="46DABC6B">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46DABC6B">
        <w:rPr>
          <w:rFonts w:ascii="Times New Roman" w:eastAsia="Times New Roman" w:hAnsi="Times New Roman" w:cs="Times New Roman"/>
          <w:color w:val="000000" w:themeColor="text1"/>
        </w:rPr>
        <w:t>(Art. 90. § 1º)</w:t>
      </w:r>
      <w:r>
        <w:rPr>
          <w:rFonts w:ascii="Times New Roman" w:eastAsia="Times New Roman" w:hAnsi="Times New Roman" w:cs="Times New Roman"/>
          <w:color w:val="000000" w:themeColor="text1"/>
        </w:rPr>
        <w:t>.</w:t>
      </w:r>
    </w:p>
    <w:p w14:paraId="2A4A3BD8" w14:textId="77777777" w:rsidR="0073337A" w:rsidRPr="00375260" w:rsidRDefault="0073337A" w:rsidP="0073337A">
      <w:pPr>
        <w:pStyle w:val="Default"/>
        <w:spacing w:line="360" w:lineRule="auto"/>
        <w:jc w:val="both"/>
        <w:rPr>
          <w:rFonts w:eastAsia="Times New Roman"/>
          <w:color w:val="auto"/>
        </w:rPr>
      </w:pPr>
    </w:p>
    <w:p w14:paraId="7CE69120" w14:textId="77777777" w:rsidR="0073337A" w:rsidRPr="00722D62" w:rsidRDefault="0073337A" w:rsidP="00B2057A">
      <w:pPr>
        <w:pStyle w:val="Default"/>
        <w:numPr>
          <w:ilvl w:val="0"/>
          <w:numId w:val="23"/>
        </w:numPr>
        <w:shd w:val="clear" w:color="auto" w:fill="BFBFBF" w:themeFill="background1" w:themeFillShade="BF"/>
        <w:ind w:left="0" w:firstLine="0"/>
        <w:jc w:val="both"/>
        <w:rPr>
          <w:rFonts w:eastAsia="Times New Roman"/>
          <w:b/>
          <w:bCs/>
          <w:color w:val="auto"/>
          <w:sz w:val="20"/>
          <w:szCs w:val="20"/>
        </w:rPr>
      </w:pPr>
      <w:r w:rsidRPr="00722D62">
        <w:rPr>
          <w:rFonts w:eastAsia="Times New Roman"/>
          <w:b/>
          <w:bCs/>
          <w:color w:val="auto"/>
        </w:rPr>
        <w:t xml:space="preserve">REAJUSTE </w:t>
      </w:r>
    </w:p>
    <w:p w14:paraId="345A79A7" w14:textId="77777777" w:rsidR="0073337A" w:rsidRPr="00722D62" w:rsidRDefault="0073337A" w:rsidP="00B2057A">
      <w:pPr>
        <w:pStyle w:val="Default"/>
        <w:numPr>
          <w:ilvl w:val="1"/>
          <w:numId w:val="23"/>
        </w:numPr>
        <w:spacing w:line="360" w:lineRule="auto"/>
        <w:ind w:left="0" w:firstLine="0"/>
        <w:jc w:val="both"/>
        <w:rPr>
          <w:rFonts w:eastAsia="Times New Roman"/>
          <w:color w:val="auto"/>
        </w:rPr>
      </w:pPr>
      <w:r w:rsidRPr="46DABC6B">
        <w:rPr>
          <w:rFonts w:eastAsia="Times New Roman"/>
          <w:color w:val="auto"/>
        </w:rPr>
        <w:t xml:space="preserve">Os preços contratados são fixos e irreajustáveis no prazo de </w:t>
      </w:r>
      <w:r>
        <w:rPr>
          <w:rFonts w:eastAsia="Times New Roman"/>
          <w:color w:val="auto"/>
        </w:rPr>
        <w:t>vigência do contrato.</w:t>
      </w:r>
    </w:p>
    <w:p w14:paraId="0DF9CD6B" w14:textId="77777777" w:rsidR="0073337A" w:rsidRPr="00C275FA" w:rsidRDefault="0073337A" w:rsidP="0073337A">
      <w:pPr>
        <w:pStyle w:val="Default"/>
        <w:spacing w:line="360" w:lineRule="auto"/>
        <w:jc w:val="both"/>
        <w:rPr>
          <w:rFonts w:eastAsia="Times New Roman"/>
          <w:color w:val="auto"/>
        </w:rPr>
      </w:pPr>
    </w:p>
    <w:p w14:paraId="434A3BDE"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11E77DC1" w14:textId="77777777" w:rsidR="0073337A" w:rsidRPr="00F61BF4" w:rsidRDefault="0073337A" w:rsidP="00B2057A">
      <w:pPr>
        <w:pStyle w:val="Default"/>
        <w:numPr>
          <w:ilvl w:val="1"/>
          <w:numId w:val="23"/>
        </w:numPr>
        <w:spacing w:line="360" w:lineRule="auto"/>
        <w:ind w:left="0" w:firstLine="0"/>
        <w:jc w:val="both"/>
      </w:pPr>
      <w:r w:rsidRPr="00F61BF4">
        <w:t xml:space="preserve">O prazo para início da prestação dos serviços de consultoria </w:t>
      </w:r>
      <w:r w:rsidRPr="00F61BF4">
        <w:rPr>
          <w:rFonts w:eastAsiaTheme="minorEastAsia"/>
          <w:color w:val="000000" w:themeColor="text1"/>
        </w:rPr>
        <w:t>é de 5</w:t>
      </w:r>
      <w:r w:rsidRPr="00F61BF4">
        <w:t xml:space="preserve"> (cinco) dias </w:t>
      </w:r>
      <w:r w:rsidRPr="00F61BF4">
        <w:rPr>
          <w:rFonts w:eastAsiaTheme="minorEastAsia"/>
          <w:color w:val="000000" w:themeColor="text1"/>
        </w:rPr>
        <w:t>úteis, contados da data de rece</w:t>
      </w:r>
      <w:r w:rsidRPr="00F61BF4">
        <w:rPr>
          <w:rFonts w:eastAsia="Times New Roman"/>
          <w:color w:val="auto"/>
        </w:rPr>
        <w:t>bimento da ordem de serviço;</w:t>
      </w:r>
    </w:p>
    <w:p w14:paraId="78D0213D" w14:textId="77777777" w:rsidR="0073337A" w:rsidRDefault="0073337A" w:rsidP="00B2057A">
      <w:pPr>
        <w:pStyle w:val="Default"/>
        <w:numPr>
          <w:ilvl w:val="1"/>
          <w:numId w:val="23"/>
        </w:numPr>
        <w:spacing w:line="360" w:lineRule="auto"/>
        <w:ind w:left="0" w:firstLine="0"/>
        <w:jc w:val="both"/>
      </w:pPr>
      <w:r>
        <w:t xml:space="preserve">A execução dos serviços deve observar o cronograma físico-financeiro apresentado no item 8.1. </w:t>
      </w:r>
    </w:p>
    <w:p w14:paraId="63980FFA" w14:textId="77777777" w:rsidR="0073337A" w:rsidRPr="00275396" w:rsidRDefault="0073337A" w:rsidP="00B2057A">
      <w:pPr>
        <w:pStyle w:val="Default"/>
        <w:numPr>
          <w:ilvl w:val="1"/>
          <w:numId w:val="23"/>
        </w:numPr>
        <w:spacing w:line="360" w:lineRule="auto"/>
        <w:ind w:left="0" w:firstLine="0"/>
        <w:jc w:val="both"/>
        <w:rPr>
          <w:rFonts w:eastAsia="Times New Roman"/>
          <w:color w:val="auto"/>
        </w:rPr>
      </w:pPr>
      <w:r w:rsidRPr="00275396">
        <w:rPr>
          <w:rFonts w:eastAsia="Times New Roman"/>
          <w:color w:val="auto"/>
        </w:rPr>
        <w:t>Os serviços serão recebidos provisoriamente</w:t>
      </w:r>
      <w:r w:rsidRPr="00275396">
        <w:rPr>
          <w:color w:val="auto"/>
        </w:rPr>
        <w:t>, de forma sumária,</w:t>
      </w:r>
      <w:r w:rsidRPr="00275396">
        <w:rPr>
          <w:rFonts w:eastAsia="Times New Roman"/>
          <w:color w:val="auto"/>
        </w:rPr>
        <w:t xml:space="preserve"> no prazo de 05 (cinco)</w:t>
      </w:r>
      <w:r>
        <w:rPr>
          <w:rFonts w:eastAsia="Times New Roman"/>
          <w:color w:val="auto"/>
        </w:rPr>
        <w:t xml:space="preserve"> </w:t>
      </w:r>
      <w:r w:rsidRPr="00275396">
        <w:rPr>
          <w:rFonts w:eastAsia="Times New Roman"/>
          <w:color w:val="auto"/>
        </w:rPr>
        <w:t xml:space="preserve">dias </w:t>
      </w:r>
      <w:r w:rsidRPr="00275396">
        <w:rPr>
          <w:rFonts w:eastAsiaTheme="minorEastAsia"/>
          <w:color w:val="000000" w:themeColor="text1"/>
        </w:rPr>
        <w:t>úteis</w:t>
      </w:r>
      <w:r w:rsidRPr="00275396">
        <w:rPr>
          <w:rFonts w:eastAsia="Times New Roman"/>
          <w:color w:val="auto"/>
        </w:rPr>
        <w:t>, pelo(a) responsável pelo acompanhamento e fiscalização do contrato, para efeito de posterior verificação de sua conformidade com as especificações constantes neste Termo de Referência e na proposta;</w:t>
      </w:r>
    </w:p>
    <w:p w14:paraId="5BA9DC89" w14:textId="77777777" w:rsidR="0073337A" w:rsidRPr="00275396" w:rsidRDefault="0073337A" w:rsidP="00B2057A">
      <w:pPr>
        <w:pStyle w:val="Default"/>
        <w:numPr>
          <w:ilvl w:val="1"/>
          <w:numId w:val="23"/>
        </w:numPr>
        <w:spacing w:line="360" w:lineRule="auto"/>
        <w:ind w:left="0" w:firstLine="0"/>
        <w:jc w:val="both"/>
        <w:rPr>
          <w:rFonts w:eastAsia="Times New Roman"/>
          <w:color w:val="auto"/>
        </w:rPr>
      </w:pPr>
      <w:r w:rsidRPr="00275396">
        <w:rPr>
          <w:rFonts w:eastAsia="Times New Roman"/>
          <w:color w:val="auto"/>
        </w:rPr>
        <w:t xml:space="preserve">Os serviços poderão ser rejeitados, no todo ou em parte, quando em desacordo com as especificações constantes neste Termo de Referência e na proposta, devendo ser reparados, corrigidos ou refeitos no prazo máximo de 10 (dez) dias </w:t>
      </w:r>
      <w:r>
        <w:rPr>
          <w:rFonts w:eastAsia="Times New Roman"/>
          <w:color w:val="auto"/>
        </w:rPr>
        <w:t>corridos</w:t>
      </w:r>
      <w:r w:rsidRPr="00275396">
        <w:rPr>
          <w:rFonts w:eastAsia="Times New Roman"/>
          <w:color w:val="auto"/>
        </w:rPr>
        <w:t>, a contar da notificação da contratada, às suas custas, sem prejuízo da aplicação das penalidades aplicáveis;</w:t>
      </w:r>
    </w:p>
    <w:p w14:paraId="1E7E5122" w14:textId="77777777" w:rsidR="0073337A" w:rsidRPr="00275396" w:rsidRDefault="0073337A" w:rsidP="00B2057A">
      <w:pPr>
        <w:pStyle w:val="Default"/>
        <w:numPr>
          <w:ilvl w:val="1"/>
          <w:numId w:val="23"/>
        </w:numPr>
        <w:spacing w:line="360" w:lineRule="auto"/>
        <w:ind w:left="0" w:firstLine="0"/>
        <w:jc w:val="both"/>
        <w:rPr>
          <w:rFonts w:eastAsia="Times New Roman"/>
          <w:color w:val="auto"/>
        </w:rPr>
      </w:pPr>
      <w:r w:rsidRPr="00275396">
        <w:rPr>
          <w:rFonts w:eastAsia="Times New Roman"/>
          <w:color w:val="auto"/>
        </w:rPr>
        <w:t xml:space="preserve">Os serviços serão recebidos definitivamente no prazo de 10 (dez) dias </w:t>
      </w:r>
      <w:r w:rsidRPr="00275396">
        <w:rPr>
          <w:rFonts w:eastAsiaTheme="minorEastAsia"/>
          <w:color w:val="000000" w:themeColor="text1"/>
        </w:rPr>
        <w:t>corridos</w:t>
      </w:r>
      <w:r w:rsidRPr="00275396">
        <w:rPr>
          <w:rFonts w:eastAsia="Times New Roman"/>
          <w:color w:val="auto"/>
        </w:rPr>
        <w:t>, contados do recebimento provisório, por servidor ou comissão designada pela autoridade competente, após a verificação da qualidade e quantidade do objeto e consequente aceitação mediante termo detalhado;</w:t>
      </w:r>
    </w:p>
    <w:p w14:paraId="6EFB4543"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389D1938"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O recebimento provisório ou definitivo do objeto não exclui a responsabilidade da contratada pelos prejuízos resultantes da incorreta execução do contrato.</w:t>
      </w:r>
    </w:p>
    <w:p w14:paraId="7DDD592C" w14:textId="77777777" w:rsidR="0073337A" w:rsidRPr="00C275FA" w:rsidRDefault="0073337A" w:rsidP="0073337A">
      <w:pPr>
        <w:pStyle w:val="Default"/>
        <w:spacing w:line="360" w:lineRule="auto"/>
        <w:ind w:firstLine="720"/>
        <w:jc w:val="both"/>
        <w:rPr>
          <w:rFonts w:eastAsia="Times New Roman"/>
          <w:color w:val="auto"/>
        </w:rPr>
      </w:pPr>
    </w:p>
    <w:p w14:paraId="2FB2F967" w14:textId="77777777" w:rsidR="0073337A" w:rsidRPr="000A6D63" w:rsidRDefault="0073337A" w:rsidP="00B2057A">
      <w:pPr>
        <w:pStyle w:val="Default"/>
        <w:numPr>
          <w:ilvl w:val="0"/>
          <w:numId w:val="23"/>
        </w:numPr>
        <w:shd w:val="clear" w:color="auto" w:fill="D9D9D9" w:themeFill="background1" w:themeFillShade="D9"/>
        <w:ind w:left="0" w:firstLine="0"/>
        <w:jc w:val="both"/>
        <w:rPr>
          <w:rFonts w:eastAsia="Times New Roman"/>
          <w:b/>
          <w:bCs/>
          <w:color w:val="auto"/>
        </w:rPr>
      </w:pPr>
      <w:r w:rsidRPr="0BB01E29">
        <w:rPr>
          <w:rFonts w:eastAsia="Times New Roman"/>
          <w:b/>
          <w:bCs/>
          <w:color w:val="auto"/>
        </w:rPr>
        <w:t xml:space="preserve">CRONOGRAMA </w:t>
      </w:r>
      <w:r>
        <w:rPr>
          <w:rFonts w:eastAsia="Times New Roman"/>
          <w:b/>
          <w:bCs/>
          <w:color w:val="auto"/>
        </w:rPr>
        <w:t xml:space="preserve">FÌSICO-FINANCEIRO </w:t>
      </w:r>
      <w:r w:rsidRPr="0BB01E29">
        <w:rPr>
          <w:rFonts w:eastAsia="Times New Roman"/>
          <w:b/>
          <w:bCs/>
          <w:color w:val="auto"/>
        </w:rPr>
        <w:t>D</w:t>
      </w:r>
      <w:r>
        <w:rPr>
          <w:rFonts w:eastAsia="Times New Roman"/>
          <w:b/>
          <w:bCs/>
          <w:color w:val="auto"/>
        </w:rPr>
        <w:t>A</w:t>
      </w:r>
      <w:r w:rsidRPr="0BB01E29">
        <w:rPr>
          <w:rFonts w:eastAsia="Times New Roman"/>
          <w:b/>
          <w:bCs/>
          <w:color w:val="auto"/>
        </w:rPr>
        <w:t xml:space="preserve"> EXECUÇÃO</w:t>
      </w:r>
    </w:p>
    <w:p w14:paraId="0016A72F" w14:textId="77777777" w:rsidR="0073337A" w:rsidRPr="00275396" w:rsidRDefault="0073337A" w:rsidP="00B2057A">
      <w:pPr>
        <w:pStyle w:val="Default"/>
        <w:numPr>
          <w:ilvl w:val="1"/>
          <w:numId w:val="23"/>
        </w:numPr>
        <w:spacing w:line="360" w:lineRule="auto"/>
        <w:ind w:left="0" w:firstLine="0"/>
        <w:jc w:val="both"/>
        <w:rPr>
          <w:rFonts w:eastAsia="Times New Roman"/>
          <w:color w:val="auto"/>
        </w:rPr>
      </w:pPr>
      <w:r w:rsidRPr="00275396">
        <w:rPr>
          <w:rFonts w:eastAsia="Times New Roman"/>
          <w:color w:val="auto"/>
        </w:rPr>
        <w:t>Cronograma relacionando a conclusão das etapas estabelecidas neste Termo de Referência ao pagamento de valores financeiros contratuais:</w:t>
      </w:r>
    </w:p>
    <w:tbl>
      <w:tblPr>
        <w:tblStyle w:val="Tabelacomgrade"/>
        <w:tblW w:w="0" w:type="auto"/>
        <w:tblInd w:w="708" w:type="dxa"/>
        <w:tblLook w:val="04A0" w:firstRow="1" w:lastRow="0" w:firstColumn="1" w:lastColumn="0" w:noHBand="0" w:noVBand="1"/>
      </w:tblPr>
      <w:tblGrid>
        <w:gridCol w:w="2831"/>
        <w:gridCol w:w="2414"/>
        <w:gridCol w:w="2541"/>
      </w:tblGrid>
      <w:tr w:rsidR="0073337A" w14:paraId="42AD425F" w14:textId="77777777" w:rsidTr="00C459BE">
        <w:tc>
          <w:tcPr>
            <w:tcW w:w="7786" w:type="dxa"/>
            <w:gridSpan w:val="3"/>
            <w:shd w:val="clear" w:color="auto" w:fill="A6A6A6" w:themeFill="background1" w:themeFillShade="A6"/>
          </w:tcPr>
          <w:p w14:paraId="0018637C" w14:textId="77777777" w:rsidR="0073337A" w:rsidRDefault="0073337A" w:rsidP="00C459BE">
            <w:pPr>
              <w:pStyle w:val="Default"/>
              <w:spacing w:line="360" w:lineRule="auto"/>
              <w:jc w:val="center"/>
            </w:pPr>
            <w:r>
              <w:rPr>
                <w:rFonts w:ascii="Arial" w:hAnsi="Arial"/>
                <w:b/>
                <w:bCs/>
                <w:sz w:val="20"/>
                <w:szCs w:val="20"/>
              </w:rPr>
              <w:t>CRONOGRAMA FÍSICO-FINANCEIRO</w:t>
            </w:r>
            <w:r w:rsidRPr="098EA061">
              <w:rPr>
                <w:rFonts w:ascii="Arial" w:hAnsi="Arial"/>
                <w:b/>
                <w:bCs/>
                <w:sz w:val="20"/>
                <w:szCs w:val="20"/>
              </w:rPr>
              <w:t xml:space="preserve"> DA EXECUÇÃO DOS</w:t>
            </w:r>
            <w:r w:rsidRPr="78BCFEAA">
              <w:rPr>
                <w:rFonts w:ascii="Arial" w:hAnsi="Arial"/>
                <w:b/>
                <w:bCs/>
                <w:sz w:val="20"/>
                <w:szCs w:val="20"/>
              </w:rPr>
              <w:t xml:space="preserve"> SERVIÇOS</w:t>
            </w:r>
          </w:p>
        </w:tc>
      </w:tr>
      <w:tr w:rsidR="0073337A" w14:paraId="6BEF6DCE" w14:textId="77777777" w:rsidTr="00C459BE">
        <w:tc>
          <w:tcPr>
            <w:tcW w:w="2831" w:type="dxa"/>
            <w:shd w:val="clear" w:color="auto" w:fill="D9D9D9" w:themeFill="background1" w:themeFillShade="D9"/>
          </w:tcPr>
          <w:p w14:paraId="0BD81219" w14:textId="77777777" w:rsidR="0073337A" w:rsidRDefault="0073337A" w:rsidP="00C459BE">
            <w:pPr>
              <w:pStyle w:val="Default"/>
              <w:spacing w:line="360" w:lineRule="auto"/>
              <w:jc w:val="center"/>
            </w:pPr>
            <w:r>
              <w:t>Serviços’</w:t>
            </w:r>
          </w:p>
        </w:tc>
        <w:tc>
          <w:tcPr>
            <w:tcW w:w="2414" w:type="dxa"/>
            <w:shd w:val="clear" w:color="auto" w:fill="D9D9D9" w:themeFill="background1" w:themeFillShade="D9"/>
          </w:tcPr>
          <w:p w14:paraId="7B3AEF11" w14:textId="77777777" w:rsidR="0073337A" w:rsidRDefault="0073337A" w:rsidP="00C459BE">
            <w:pPr>
              <w:pStyle w:val="Default"/>
              <w:spacing w:line="360" w:lineRule="auto"/>
              <w:jc w:val="center"/>
            </w:pPr>
            <w:r>
              <w:t>Prazo máximo de Execução</w:t>
            </w:r>
          </w:p>
          <w:p w14:paraId="1EF262E7" w14:textId="77777777" w:rsidR="0073337A" w:rsidRDefault="0073337A" w:rsidP="00C459BE">
            <w:pPr>
              <w:pStyle w:val="Default"/>
              <w:spacing w:line="360" w:lineRule="auto"/>
              <w:jc w:val="center"/>
            </w:pPr>
            <w:r>
              <w:t>(Em semanas)</w:t>
            </w:r>
          </w:p>
        </w:tc>
        <w:tc>
          <w:tcPr>
            <w:tcW w:w="2541" w:type="dxa"/>
            <w:shd w:val="clear" w:color="auto" w:fill="D9D9D9" w:themeFill="background1" w:themeFillShade="D9"/>
          </w:tcPr>
          <w:p w14:paraId="53C8F7FB" w14:textId="77777777" w:rsidR="0073337A" w:rsidRDefault="0073337A" w:rsidP="00C459BE">
            <w:pPr>
              <w:pStyle w:val="Default"/>
              <w:spacing w:line="360" w:lineRule="auto"/>
              <w:jc w:val="center"/>
            </w:pPr>
            <w:r>
              <w:t>Percentual do Faturamento em relação ao valor global</w:t>
            </w:r>
          </w:p>
          <w:p w14:paraId="5FDE3DA3" w14:textId="77777777" w:rsidR="0073337A" w:rsidRDefault="0073337A" w:rsidP="00C459BE">
            <w:pPr>
              <w:pStyle w:val="Default"/>
              <w:spacing w:line="360" w:lineRule="auto"/>
              <w:jc w:val="center"/>
            </w:pPr>
            <w:r>
              <w:t>mediante finalização do serviço previsto:</w:t>
            </w:r>
          </w:p>
        </w:tc>
      </w:tr>
      <w:tr w:rsidR="0073337A" w14:paraId="3417D4FB" w14:textId="77777777" w:rsidTr="00C459BE">
        <w:tc>
          <w:tcPr>
            <w:tcW w:w="2831" w:type="dxa"/>
          </w:tcPr>
          <w:p w14:paraId="5B545EA3" w14:textId="77777777" w:rsidR="0073337A" w:rsidRPr="00330755" w:rsidRDefault="0073337A" w:rsidP="00C459BE">
            <w:pPr>
              <w:pStyle w:val="Default"/>
              <w:spacing w:line="360" w:lineRule="auto"/>
              <w:jc w:val="both"/>
            </w:pPr>
            <w:r w:rsidRPr="00330755">
              <w:t xml:space="preserve">Especificados na </w:t>
            </w:r>
          </w:p>
          <w:p w14:paraId="4EBF7525" w14:textId="77777777" w:rsidR="0073337A" w:rsidRPr="00330755" w:rsidRDefault="0073337A" w:rsidP="00C459BE">
            <w:pPr>
              <w:pStyle w:val="Default"/>
              <w:spacing w:line="360" w:lineRule="auto"/>
              <w:jc w:val="both"/>
            </w:pPr>
            <w:r w:rsidRPr="00330755">
              <w:t>Etapa 01 (item 3.5)</w:t>
            </w:r>
          </w:p>
        </w:tc>
        <w:tc>
          <w:tcPr>
            <w:tcW w:w="2414" w:type="dxa"/>
          </w:tcPr>
          <w:p w14:paraId="21FDF5CB" w14:textId="77777777" w:rsidR="0073337A" w:rsidRDefault="0073337A" w:rsidP="00C459BE">
            <w:pPr>
              <w:pStyle w:val="Default"/>
              <w:spacing w:line="360" w:lineRule="auto"/>
              <w:jc w:val="center"/>
            </w:pPr>
            <w:r>
              <w:t>- 8 (oito) semanas, para serviço de consultoria Novo Edifício-Sede</w:t>
            </w:r>
          </w:p>
          <w:p w14:paraId="26CB2F0F" w14:textId="77777777" w:rsidR="0073337A" w:rsidRDefault="0073337A" w:rsidP="00C459BE">
            <w:pPr>
              <w:pStyle w:val="Default"/>
              <w:spacing w:line="360" w:lineRule="auto"/>
              <w:jc w:val="center"/>
            </w:pPr>
            <w:r>
              <w:t xml:space="preserve"> - 4 (quatro) semanas,  para serviço de consultoria Sede atual</w:t>
            </w:r>
          </w:p>
        </w:tc>
        <w:tc>
          <w:tcPr>
            <w:tcW w:w="2541" w:type="dxa"/>
          </w:tcPr>
          <w:p w14:paraId="5BD922C5" w14:textId="77777777" w:rsidR="0073337A" w:rsidRDefault="0073337A" w:rsidP="00C459BE">
            <w:pPr>
              <w:pStyle w:val="Default"/>
              <w:spacing w:line="360" w:lineRule="auto"/>
              <w:jc w:val="center"/>
            </w:pPr>
            <w:r>
              <w:t>30%</w:t>
            </w:r>
          </w:p>
        </w:tc>
      </w:tr>
      <w:tr w:rsidR="0073337A" w14:paraId="29A4DC3E" w14:textId="77777777" w:rsidTr="00C459BE">
        <w:tc>
          <w:tcPr>
            <w:tcW w:w="2831" w:type="dxa"/>
          </w:tcPr>
          <w:p w14:paraId="11526CDD" w14:textId="77777777" w:rsidR="0073337A" w:rsidRPr="00330755" w:rsidRDefault="0073337A" w:rsidP="00C459BE">
            <w:pPr>
              <w:pStyle w:val="Default"/>
              <w:spacing w:line="360" w:lineRule="auto"/>
              <w:jc w:val="both"/>
            </w:pPr>
            <w:r w:rsidRPr="00330755">
              <w:t>Especificados na</w:t>
            </w:r>
          </w:p>
          <w:p w14:paraId="22271F4C" w14:textId="77777777" w:rsidR="0073337A" w:rsidRPr="00330755" w:rsidRDefault="0073337A" w:rsidP="00C459BE">
            <w:pPr>
              <w:pStyle w:val="Default"/>
              <w:spacing w:line="360" w:lineRule="auto"/>
              <w:jc w:val="both"/>
            </w:pPr>
            <w:r w:rsidRPr="00330755">
              <w:t xml:space="preserve"> Etapa 02 (item 3.6)</w:t>
            </w:r>
          </w:p>
        </w:tc>
        <w:tc>
          <w:tcPr>
            <w:tcW w:w="2414" w:type="dxa"/>
          </w:tcPr>
          <w:p w14:paraId="51E86540" w14:textId="77777777" w:rsidR="0073337A" w:rsidRDefault="0073337A" w:rsidP="00C459BE">
            <w:pPr>
              <w:pStyle w:val="Default"/>
              <w:spacing w:line="360" w:lineRule="auto"/>
              <w:jc w:val="center"/>
            </w:pPr>
            <w:r>
              <w:t>- 6 (seis) semanas, para serviço de consultoria Novo Edifício-Sede</w:t>
            </w:r>
          </w:p>
          <w:p w14:paraId="5B811C65" w14:textId="77777777" w:rsidR="0073337A" w:rsidRDefault="0073337A" w:rsidP="00C459BE">
            <w:pPr>
              <w:pStyle w:val="Default"/>
              <w:spacing w:line="360" w:lineRule="auto"/>
              <w:jc w:val="center"/>
            </w:pPr>
            <w:r>
              <w:t>- 3 (três) semanas, para serviço de consultoria Sede atual</w:t>
            </w:r>
          </w:p>
        </w:tc>
        <w:tc>
          <w:tcPr>
            <w:tcW w:w="2541" w:type="dxa"/>
          </w:tcPr>
          <w:p w14:paraId="032B27DC" w14:textId="77777777" w:rsidR="0073337A" w:rsidRDefault="0073337A" w:rsidP="00C459BE">
            <w:pPr>
              <w:pStyle w:val="Default"/>
              <w:spacing w:line="360" w:lineRule="auto"/>
              <w:jc w:val="center"/>
            </w:pPr>
            <w:r>
              <w:t>30%</w:t>
            </w:r>
          </w:p>
        </w:tc>
      </w:tr>
      <w:tr w:rsidR="0073337A" w14:paraId="4951AA89" w14:textId="77777777" w:rsidTr="00C459BE">
        <w:tc>
          <w:tcPr>
            <w:tcW w:w="2831" w:type="dxa"/>
          </w:tcPr>
          <w:p w14:paraId="34A20EA4" w14:textId="77777777" w:rsidR="0073337A" w:rsidRPr="00330755" w:rsidRDefault="0073337A" w:rsidP="00C459BE">
            <w:pPr>
              <w:pStyle w:val="Default"/>
              <w:spacing w:line="360" w:lineRule="auto"/>
              <w:jc w:val="both"/>
            </w:pPr>
            <w:r w:rsidRPr="00330755">
              <w:t>Especificados na</w:t>
            </w:r>
          </w:p>
          <w:p w14:paraId="48188B6F" w14:textId="77777777" w:rsidR="0073337A" w:rsidRPr="00330755" w:rsidRDefault="0073337A" w:rsidP="00C459BE">
            <w:pPr>
              <w:pStyle w:val="Default"/>
              <w:spacing w:line="360" w:lineRule="auto"/>
              <w:jc w:val="both"/>
              <w:rPr>
                <w:b/>
                <w:bCs/>
              </w:rPr>
            </w:pPr>
            <w:r w:rsidRPr="00330755">
              <w:t xml:space="preserve"> Etapa 03 (item 3.7)</w:t>
            </w:r>
          </w:p>
        </w:tc>
        <w:tc>
          <w:tcPr>
            <w:tcW w:w="2414" w:type="dxa"/>
          </w:tcPr>
          <w:p w14:paraId="70AA03B4" w14:textId="77777777" w:rsidR="0073337A" w:rsidRDefault="0073337A" w:rsidP="00C459BE">
            <w:pPr>
              <w:pStyle w:val="Default"/>
              <w:spacing w:line="360" w:lineRule="auto"/>
              <w:jc w:val="center"/>
            </w:pPr>
            <w:r>
              <w:t>- 4 (quatro) semanas, para serviço de consultoria Novo Edifício-Sede</w:t>
            </w:r>
          </w:p>
          <w:p w14:paraId="455CFD30" w14:textId="77777777" w:rsidR="0073337A" w:rsidRDefault="0073337A" w:rsidP="00C459BE">
            <w:pPr>
              <w:pStyle w:val="Default"/>
              <w:spacing w:line="360" w:lineRule="auto"/>
              <w:jc w:val="center"/>
            </w:pPr>
            <w:r>
              <w:lastRenderedPageBreak/>
              <w:t>- 3 (três) semanas, para serviço de consultoria Sede atual</w:t>
            </w:r>
          </w:p>
        </w:tc>
        <w:tc>
          <w:tcPr>
            <w:tcW w:w="2541" w:type="dxa"/>
          </w:tcPr>
          <w:p w14:paraId="1B69EA63" w14:textId="77777777" w:rsidR="0073337A" w:rsidRDefault="0073337A" w:rsidP="00C459BE">
            <w:pPr>
              <w:pStyle w:val="Default"/>
              <w:spacing w:line="360" w:lineRule="auto"/>
              <w:jc w:val="center"/>
            </w:pPr>
            <w:r>
              <w:lastRenderedPageBreak/>
              <w:t>40%</w:t>
            </w:r>
          </w:p>
        </w:tc>
      </w:tr>
    </w:tbl>
    <w:p w14:paraId="5D082A0D" w14:textId="77777777" w:rsidR="0073337A" w:rsidRDefault="0073337A" w:rsidP="0073337A">
      <w:pPr>
        <w:pStyle w:val="Default"/>
        <w:spacing w:line="360" w:lineRule="auto"/>
        <w:jc w:val="both"/>
        <w:rPr>
          <w:rFonts w:eastAsia="Times New Roman"/>
          <w:b/>
          <w:bCs/>
          <w:color w:val="auto"/>
          <w:highlight w:val="yellow"/>
        </w:rPr>
      </w:pPr>
    </w:p>
    <w:p w14:paraId="1D421E39" w14:textId="77777777" w:rsidR="0073337A" w:rsidRPr="00FD533A" w:rsidRDefault="0073337A" w:rsidP="00B2057A">
      <w:pPr>
        <w:pStyle w:val="Default"/>
        <w:numPr>
          <w:ilvl w:val="2"/>
          <w:numId w:val="23"/>
        </w:numPr>
        <w:spacing w:line="360" w:lineRule="auto"/>
        <w:ind w:left="2160"/>
        <w:jc w:val="both"/>
        <w:rPr>
          <w:rFonts w:eastAsia="Times New Roman"/>
          <w:color w:val="auto"/>
        </w:rPr>
      </w:pPr>
      <w:r w:rsidRPr="00FD533A">
        <w:rPr>
          <w:rFonts w:eastAsia="Times New Roman"/>
          <w:color w:val="auto"/>
        </w:rPr>
        <w:t>A CONTRATADA estará apta a emitir notas fiscais para recebimento, após a conclusão dos serviços conforme previsto na tabela acima.</w:t>
      </w:r>
    </w:p>
    <w:p w14:paraId="0C8E40F5" w14:textId="77777777" w:rsidR="0073337A" w:rsidRPr="00FD533A" w:rsidRDefault="0073337A" w:rsidP="00B2057A">
      <w:pPr>
        <w:pStyle w:val="Default"/>
        <w:numPr>
          <w:ilvl w:val="2"/>
          <w:numId w:val="23"/>
        </w:numPr>
        <w:spacing w:line="360" w:lineRule="auto"/>
        <w:ind w:left="2160"/>
        <w:jc w:val="both"/>
        <w:rPr>
          <w:rFonts w:eastAsia="Times New Roman"/>
          <w:color w:val="auto"/>
        </w:rPr>
      </w:pPr>
      <w:r w:rsidRPr="00FD533A">
        <w:rPr>
          <w:rFonts w:eastAsia="Times New Roman"/>
          <w:color w:val="auto"/>
        </w:rPr>
        <w:t>Em razão da natureza dos serviços, condições e disponibilidade de outras equipes necessárias para a realização das atividades previstas, considerando o interesse da CONTRATANTE, os prazos máximos do cronograma acima poderão ser revistos em comum acordo entre as partes.</w:t>
      </w:r>
    </w:p>
    <w:p w14:paraId="485EBF16" w14:textId="77777777" w:rsidR="0073337A" w:rsidRPr="000A6D63" w:rsidRDefault="0073337A" w:rsidP="0073337A">
      <w:pPr>
        <w:pStyle w:val="Default"/>
        <w:spacing w:after="240"/>
        <w:ind w:left="720"/>
        <w:jc w:val="both"/>
        <w:rPr>
          <w:rFonts w:eastAsia="Times New Roman"/>
          <w:color w:val="auto"/>
        </w:rPr>
      </w:pPr>
    </w:p>
    <w:p w14:paraId="75D57ECA"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0BB01E29">
        <w:rPr>
          <w:rFonts w:eastAsia="Times New Roman"/>
          <w:b/>
          <w:bCs/>
          <w:color w:val="auto"/>
        </w:rPr>
        <w:t>LOCAL PARA PRESTAÇÃO DOS SERVIÇOS</w:t>
      </w:r>
    </w:p>
    <w:p w14:paraId="1A6DF662" w14:textId="77777777" w:rsidR="0073337A" w:rsidRPr="00EA3F57" w:rsidRDefault="0073337A" w:rsidP="00B2057A">
      <w:pPr>
        <w:pStyle w:val="Default"/>
        <w:numPr>
          <w:ilvl w:val="1"/>
          <w:numId w:val="23"/>
        </w:numPr>
        <w:spacing w:line="360" w:lineRule="auto"/>
        <w:ind w:left="0" w:firstLine="0"/>
        <w:jc w:val="both"/>
        <w:rPr>
          <w:rFonts w:eastAsia="Times New Roman"/>
          <w:color w:val="auto"/>
        </w:rPr>
      </w:pPr>
      <w:r>
        <w:rPr>
          <w:rFonts w:eastAsiaTheme="minorEastAsia"/>
          <w:color w:val="auto"/>
        </w:rPr>
        <w:t>Conforme a etapa e características envolvidas na execução das atividades previstas, o</w:t>
      </w:r>
      <w:r w:rsidRPr="195F2EF2">
        <w:rPr>
          <w:rFonts w:eastAsiaTheme="minorEastAsia"/>
          <w:color w:val="auto"/>
        </w:rPr>
        <w:t>s serviços deverão ser prestados de forma remota</w:t>
      </w:r>
      <w:r>
        <w:rPr>
          <w:rFonts w:eastAsiaTheme="minorEastAsia"/>
          <w:color w:val="auto"/>
        </w:rPr>
        <w:t xml:space="preserve"> ou presencial</w:t>
      </w:r>
      <w:r w:rsidRPr="195F2EF2">
        <w:rPr>
          <w:rFonts w:eastAsiaTheme="minorEastAsia"/>
          <w:color w:val="auto"/>
        </w:rPr>
        <w:t xml:space="preserve">. </w:t>
      </w:r>
      <w:r>
        <w:rPr>
          <w:rFonts w:eastAsiaTheme="minorEastAsia"/>
          <w:color w:val="auto"/>
        </w:rPr>
        <w:t xml:space="preserve">Quando executados de forma presencial, </w:t>
      </w:r>
      <w:r w:rsidRPr="195F2EF2">
        <w:rPr>
          <w:rFonts w:eastAsiaTheme="minorEastAsia"/>
          <w:color w:val="auto"/>
        </w:rPr>
        <w:t>a critério da CONTRATANTE, eles poderão ser prestados na Sede do CNMP, no Setor de Administração Federal Sul – SAFS, Quadra 2, Lote 3, CEP 70070-600 em Brasília-DF</w:t>
      </w:r>
      <w:r>
        <w:rPr>
          <w:rFonts w:eastAsiaTheme="minorEastAsia"/>
          <w:color w:val="auto"/>
        </w:rPr>
        <w:t xml:space="preserve"> ou então, para o caso específico do </w:t>
      </w:r>
      <w:r>
        <w:t>serviço de consultoria para o novo edifício</w:t>
      </w:r>
      <w:r>
        <w:rPr>
          <w:rFonts w:eastAsiaTheme="minorEastAsia"/>
          <w:color w:val="auto"/>
        </w:rPr>
        <w:t xml:space="preserve">, na Sede do MPDFT, localizado no </w:t>
      </w:r>
      <w:r w:rsidRPr="004519CF">
        <w:rPr>
          <w:rFonts w:eastAsiaTheme="minorEastAsia"/>
          <w:color w:val="auto"/>
        </w:rPr>
        <w:t>Eixo Monumental, Praça do Buriti, Lote 2, CEP 70.091-900</w:t>
      </w:r>
      <w:r>
        <w:rPr>
          <w:rFonts w:eastAsiaTheme="minorEastAsia"/>
          <w:color w:val="auto"/>
        </w:rPr>
        <w:t xml:space="preserve"> em Brasília-DF</w:t>
      </w:r>
      <w:r w:rsidRPr="195F2EF2">
        <w:rPr>
          <w:rFonts w:eastAsiaTheme="minorEastAsia"/>
          <w:color w:val="auto"/>
        </w:rPr>
        <w:t xml:space="preserve">. </w:t>
      </w:r>
      <w:r>
        <w:rPr>
          <w:rFonts w:eastAsiaTheme="minorEastAsia"/>
          <w:color w:val="auto"/>
        </w:rPr>
        <w:t>As</w:t>
      </w:r>
      <w:r w:rsidRPr="195F2EF2">
        <w:rPr>
          <w:rFonts w:eastAsiaTheme="minorEastAsia"/>
          <w:color w:val="auto"/>
        </w:rPr>
        <w:t xml:space="preserve"> eventu</w:t>
      </w:r>
      <w:r>
        <w:rPr>
          <w:rFonts w:eastAsiaTheme="minorEastAsia"/>
          <w:color w:val="auto"/>
        </w:rPr>
        <w:t xml:space="preserve">ais </w:t>
      </w:r>
      <w:r w:rsidRPr="195F2EF2">
        <w:rPr>
          <w:rFonts w:eastAsiaTheme="minorEastAsia"/>
          <w:color w:val="auto"/>
        </w:rPr>
        <w:t>mudança</w:t>
      </w:r>
      <w:r>
        <w:rPr>
          <w:rFonts w:eastAsiaTheme="minorEastAsia"/>
          <w:color w:val="auto"/>
        </w:rPr>
        <w:t>s</w:t>
      </w:r>
      <w:r w:rsidRPr="195F2EF2">
        <w:rPr>
          <w:rFonts w:eastAsiaTheme="minorEastAsia"/>
          <w:color w:val="auto"/>
        </w:rPr>
        <w:t xml:space="preserve"> </w:t>
      </w:r>
      <w:r>
        <w:rPr>
          <w:rFonts w:eastAsiaTheme="minorEastAsia"/>
          <w:color w:val="auto"/>
        </w:rPr>
        <w:t>de</w:t>
      </w:r>
      <w:r w:rsidRPr="195F2EF2">
        <w:rPr>
          <w:rFonts w:eastAsiaTheme="minorEastAsia"/>
          <w:color w:val="auto"/>
        </w:rPr>
        <w:t xml:space="preserve"> loca</w:t>
      </w:r>
      <w:r>
        <w:rPr>
          <w:rFonts w:eastAsiaTheme="minorEastAsia"/>
          <w:color w:val="auto"/>
        </w:rPr>
        <w:t>is</w:t>
      </w:r>
      <w:r w:rsidRPr="195F2EF2">
        <w:rPr>
          <w:rFonts w:eastAsiaTheme="minorEastAsia"/>
          <w:color w:val="auto"/>
        </w:rPr>
        <w:t xml:space="preserve"> em Brasília-DF não deverão interromp</w:t>
      </w:r>
      <w:r>
        <w:rPr>
          <w:rFonts w:eastAsiaTheme="minorEastAsia"/>
          <w:color w:val="auto"/>
        </w:rPr>
        <w:t>er</w:t>
      </w:r>
      <w:r w:rsidRPr="195F2EF2">
        <w:rPr>
          <w:rFonts w:eastAsiaTheme="minorEastAsia"/>
          <w:color w:val="auto"/>
        </w:rPr>
        <w:t xml:space="preserve"> a prestação dos serviços, nas mesmas condições estabelecidas neste Termo de Referência.</w:t>
      </w:r>
    </w:p>
    <w:p w14:paraId="0791CFC4" w14:textId="77777777" w:rsidR="0073337A" w:rsidRDefault="0073337A" w:rsidP="00B2057A">
      <w:pPr>
        <w:pStyle w:val="Default"/>
        <w:numPr>
          <w:ilvl w:val="2"/>
          <w:numId w:val="23"/>
        </w:numPr>
        <w:spacing w:line="360" w:lineRule="auto"/>
        <w:ind w:left="2160"/>
        <w:jc w:val="both"/>
        <w:rPr>
          <w:rFonts w:eastAsia="Times New Roman"/>
          <w:color w:val="auto"/>
        </w:rPr>
      </w:pPr>
      <w:r w:rsidRPr="00EA3F57">
        <w:rPr>
          <w:rFonts w:eastAsia="Times New Roman"/>
          <w:color w:val="auto"/>
        </w:rPr>
        <w:t>Em razão da natureza dos serviços, que implica na realização de reuniões diversas e conhecimento das características relacionadas às atividades desenvolvidas pela CONTRATANTE, incluindo o conhecimento das instalações físicas da edificação atualmente ocupada pelo CNMP, a CONTRATADA está ciente quanto à obrigatoriedade do seu comparecimento presencial em determinadas etapas de desenvolvimento dos serviços, especialmente nas etapas iniciais, de levantamento de informações, realização de discussões com as equipes e especificação dos requisitos.</w:t>
      </w:r>
    </w:p>
    <w:p w14:paraId="7FDC5496" w14:textId="77777777" w:rsidR="0073337A" w:rsidRPr="004519CF" w:rsidRDefault="0073337A" w:rsidP="00B2057A">
      <w:pPr>
        <w:pStyle w:val="Default"/>
        <w:numPr>
          <w:ilvl w:val="1"/>
          <w:numId w:val="23"/>
        </w:numPr>
        <w:spacing w:line="360" w:lineRule="auto"/>
        <w:ind w:left="0" w:firstLine="0"/>
        <w:jc w:val="both"/>
        <w:rPr>
          <w:rFonts w:eastAsia="Times New Roman"/>
          <w:color w:val="auto"/>
        </w:rPr>
      </w:pPr>
      <w:r w:rsidRPr="195F2EF2">
        <w:rPr>
          <w:rFonts w:eastAsiaTheme="minorEastAsia"/>
          <w:color w:val="auto"/>
        </w:rPr>
        <w:t>A prestação dos serviços deverá ser realizada nas condições especificadas neste Termo de Referência.</w:t>
      </w:r>
    </w:p>
    <w:p w14:paraId="42A5FC26" w14:textId="77777777" w:rsidR="0073337A" w:rsidRPr="00C275FA" w:rsidRDefault="0073337A" w:rsidP="0073337A">
      <w:pPr>
        <w:pStyle w:val="Default"/>
        <w:spacing w:line="360" w:lineRule="auto"/>
        <w:jc w:val="both"/>
        <w:rPr>
          <w:rFonts w:eastAsia="Times New Roman"/>
          <w:b/>
          <w:bCs/>
          <w:color w:val="auto"/>
        </w:rPr>
      </w:pPr>
    </w:p>
    <w:p w14:paraId="74C708CE"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12A9C039"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Proporcionar as facilidades indispensáveis à boa execução das obrigações contratuais;</w:t>
      </w:r>
    </w:p>
    <w:p w14:paraId="15400814"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Receber o objeto no prazo e condições estabelecidas no Edital e seus anexos;</w:t>
      </w:r>
    </w:p>
    <w:p w14:paraId="548291AD"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Verificar minuciosamente, no prazo fixado, a conformidade dos serviços realizados provisoriamente com as especificações constantes do Edital e da proposta, para fins de aceitação e recebimentos;</w:t>
      </w:r>
    </w:p>
    <w:p w14:paraId="301B6C58"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Comunicar à CONTRATADA, por escrito, sobre imperfeições, falhas ou irregularidades verificadas no serviço realizado, fixando prazo para que seja substituído, reparado ou corrigido;</w:t>
      </w:r>
    </w:p>
    <w:p w14:paraId="27184549"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Efetuar o pagamento à CONTRATADA no valor correspondente ao serviço, no prazo e forma estabelecidos no Edital e seus anexos;</w:t>
      </w:r>
    </w:p>
    <w:p w14:paraId="6926C8C6"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0FF14A2B"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Aplicar as sanções, conforme previsto no termo de referência (e/ou outros instrumentos adequados, como edital e contrato);</w:t>
      </w:r>
    </w:p>
    <w:p w14:paraId="36B71F3A"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Prestar todas as informações e esclarecimentos pertinentes ao serviço, que venham a ser solicitadas pelos técnicos da CONTRATADA;</w:t>
      </w:r>
    </w:p>
    <w:p w14:paraId="2A35B21D"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 fixando prazo para a sua correção.</w:t>
      </w:r>
    </w:p>
    <w:p w14:paraId="68FEC54B" w14:textId="77777777" w:rsidR="0073337A" w:rsidRDefault="0073337A" w:rsidP="00B2057A">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10E3C862" w14:textId="77777777" w:rsidR="0073337A" w:rsidRDefault="0073337A" w:rsidP="00B2057A">
      <w:pPr>
        <w:pStyle w:val="PargrafodaLista"/>
        <w:numPr>
          <w:ilvl w:val="1"/>
          <w:numId w:val="23"/>
        </w:numPr>
        <w:spacing w:line="360" w:lineRule="auto"/>
        <w:ind w:left="0" w:firstLine="0"/>
        <w:jc w:val="both"/>
        <w:rPr>
          <w:rFonts w:ascii="Times New Roman" w:eastAsia="Times New Roman" w:hAnsi="Times New Roman" w:cs="Times New Roman"/>
        </w:rPr>
      </w:pPr>
      <w:r w:rsidRPr="00E130F3">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0D8B0DEE" w14:textId="77777777" w:rsidR="0073337A" w:rsidRPr="00C275FA" w:rsidRDefault="0073337A" w:rsidP="0073337A">
      <w:pPr>
        <w:pStyle w:val="Default"/>
        <w:spacing w:line="360" w:lineRule="auto"/>
        <w:ind w:firstLine="720"/>
        <w:jc w:val="both"/>
        <w:rPr>
          <w:rFonts w:eastAsia="Times New Roman"/>
          <w:color w:val="auto"/>
        </w:rPr>
      </w:pPr>
    </w:p>
    <w:p w14:paraId="2AA20B06"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DA CONTRATADA</w:t>
      </w:r>
    </w:p>
    <w:p w14:paraId="258DBB6D"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495BFAB2"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lastRenderedPageBreak/>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68AD5E0C"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A CONTRATADA deve relacionar-se com o CONTRATANTE, exclusivamente, por meio do fiscal do contrato </w:t>
      </w:r>
      <w:r w:rsidRPr="195F2EF2">
        <w:rPr>
          <w:color w:val="000000" w:themeColor="text1"/>
        </w:rPr>
        <w:t xml:space="preserve">ou da Área de Contratos </w:t>
      </w:r>
      <w:r w:rsidRPr="195F2EF2">
        <w:rPr>
          <w:rFonts w:eastAsia="Times New Roman"/>
          <w:color w:val="000000" w:themeColor="text1"/>
        </w:rPr>
        <w:t>nos assuntos de sua competência</w:t>
      </w:r>
      <w:r w:rsidRPr="195F2EF2">
        <w:rPr>
          <w:rFonts w:eastAsia="Times New Roman"/>
          <w:color w:val="auto"/>
        </w:rPr>
        <w:t>, e preferencialmente, por escrito;</w:t>
      </w:r>
    </w:p>
    <w:p w14:paraId="5DFDD4F7"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deverá prestar esclarecimentos ao CNMP e sujeitar-se às orientações do fiscal do contrato;</w:t>
      </w:r>
    </w:p>
    <w:p w14:paraId="6DDFE311"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Relatar ao CONTRATANTE, no prazo máximo de </w:t>
      </w:r>
      <w:r w:rsidRPr="009504C0">
        <w:rPr>
          <w:rFonts w:eastAsia="Times New Roman"/>
          <w:color w:val="auto"/>
        </w:rPr>
        <w:t>02 (dois) dias</w:t>
      </w:r>
      <w:r>
        <w:rPr>
          <w:rFonts w:eastAsia="Times New Roman"/>
          <w:color w:val="auto"/>
        </w:rPr>
        <w:t xml:space="preserve"> úteis</w:t>
      </w:r>
      <w:r w:rsidRPr="195F2EF2">
        <w:rPr>
          <w:rFonts w:eastAsia="Times New Roman"/>
          <w:color w:val="auto"/>
        </w:rPr>
        <w:t>,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4116ED20"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195F2EF2">
        <w:rPr>
          <w:color w:val="auto"/>
        </w:rPr>
        <w:t>92, inciso XVI da Lei 14.133/2021</w:t>
      </w:r>
      <w:r w:rsidRPr="195F2EF2">
        <w:rPr>
          <w:rFonts w:eastAsia="Times New Roman"/>
          <w:color w:val="auto"/>
        </w:rPr>
        <w:t>);</w:t>
      </w:r>
    </w:p>
    <w:p w14:paraId="2793B879"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é responsável pelos danos causados diretamente à Administração ou a terceiros, decorrentes de sua culpa ou dolo na execução do contrato (art. 120 da Lei 14.133/2021);</w:t>
      </w:r>
    </w:p>
    <w:p w14:paraId="6918B73F" w14:textId="77777777" w:rsidR="0073337A" w:rsidRPr="00C275FA" w:rsidRDefault="0073337A" w:rsidP="00B2057A">
      <w:pPr>
        <w:pStyle w:val="Default"/>
        <w:numPr>
          <w:ilvl w:val="1"/>
          <w:numId w:val="23"/>
        </w:numPr>
        <w:spacing w:line="360" w:lineRule="auto"/>
        <w:ind w:left="0" w:firstLine="0"/>
        <w:jc w:val="both"/>
        <w:rPr>
          <w:rFonts w:asciiTheme="minorHAnsi" w:eastAsiaTheme="minorEastAsia" w:hAnsiTheme="minorHAnsi" w:cstheme="minorBidi"/>
          <w:color w:val="auto"/>
        </w:rPr>
      </w:pPr>
      <w:r w:rsidRPr="195F2EF2">
        <w:rPr>
          <w:rFonts w:eastAsia="Times New Roman"/>
          <w:color w:val="auto"/>
        </w:rPr>
        <w:t>A CONTRATADA é obrigada a disponibilizar e manter atualizados conta de e-mail, endereço e telefones comerciais para fins de comunicação formal e</w:t>
      </w:r>
      <w:r w:rsidRPr="195F2EF2">
        <w:rPr>
          <w:rFonts w:eastAsiaTheme="minorEastAsia"/>
          <w:color w:val="auto"/>
        </w:rPr>
        <w:t xml:space="preserve">ntre as partes, </w:t>
      </w:r>
      <w:r w:rsidRPr="195F2EF2">
        <w:rPr>
          <w:rFonts w:eastAsia="Times New Roman"/>
          <w:color w:val="000000" w:themeColor="text1"/>
        </w:rPr>
        <w:t>sendo de sua total responsabilidade as consequências negativas advindas da desatualização dessas informações</w:t>
      </w:r>
      <w:r w:rsidRPr="195F2EF2">
        <w:rPr>
          <w:rFonts w:eastAsiaTheme="minorEastAsia"/>
          <w:color w:val="auto"/>
        </w:rPr>
        <w:t>;</w:t>
      </w:r>
    </w:p>
    <w:p w14:paraId="743ADC0D" w14:textId="77777777" w:rsidR="0073337A" w:rsidRPr="00C275FA" w:rsidRDefault="0073337A" w:rsidP="00B2057A">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caucionar ou utilizar o contrato para quaisquer operações financeiras;</w:t>
      </w:r>
    </w:p>
    <w:p w14:paraId="1118DBB5" w14:textId="77777777" w:rsidR="0073337A" w:rsidRPr="00C275FA" w:rsidRDefault="0073337A" w:rsidP="00B2057A">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utilizar o nome do CONTRATANTE, ou sua qualidade de CONTRATADA, em quaisquer atividades de divulgação empresarial, como, por exemplo, em cartões de visita, anúncios e impressos;</w:t>
      </w:r>
    </w:p>
    <w:p w14:paraId="01B16156" w14:textId="77777777" w:rsidR="0073337A" w:rsidRPr="00C275FA" w:rsidRDefault="0073337A" w:rsidP="00B2057A">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0CEFC4A9" w14:textId="77777777" w:rsidR="0073337A" w:rsidRDefault="0073337A" w:rsidP="0073337A">
      <w:pPr>
        <w:spacing w:line="360" w:lineRule="auto"/>
        <w:ind w:left="360"/>
        <w:jc w:val="both"/>
        <w:rPr>
          <w:rFonts w:ascii="Times New Roman" w:eastAsia="Times New Roman" w:hAnsi="Times New Roman" w:cs="Times New Roman"/>
        </w:rPr>
      </w:pPr>
    </w:p>
    <w:p w14:paraId="65584583"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066F9351"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Não será admitida a subcontratação do objeto licitatório.</w:t>
      </w:r>
    </w:p>
    <w:p w14:paraId="017341BA" w14:textId="77777777" w:rsidR="0073337A" w:rsidRPr="00C275FA" w:rsidRDefault="0073337A" w:rsidP="0073337A">
      <w:pPr>
        <w:pStyle w:val="Default"/>
        <w:spacing w:line="360" w:lineRule="auto"/>
        <w:ind w:firstLine="720"/>
        <w:jc w:val="both"/>
        <w:rPr>
          <w:color w:val="auto"/>
        </w:rPr>
      </w:pPr>
    </w:p>
    <w:p w14:paraId="3DAD31FF"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CRITÉRIOS PARA JULGAMENTO E ELABORAÇÃO DAS PROPOSTAS</w:t>
      </w:r>
    </w:p>
    <w:p w14:paraId="3863CAAC"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proposta apresentada deverá conter o CNPJ da proponente, prazo de validade e ser endereçada ao Conselho Nacional do Ministério Público – CNMP;</w:t>
      </w:r>
    </w:p>
    <w:p w14:paraId="6762EEEA"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O julgamento das propostas se dará pelo menor preço global</w:t>
      </w:r>
      <w:r>
        <w:rPr>
          <w:rFonts w:eastAsia="Times New Roman"/>
          <w:color w:val="auto"/>
        </w:rPr>
        <w:t>;</w:t>
      </w:r>
      <w:r w:rsidRPr="195F2EF2">
        <w:rPr>
          <w:rFonts w:eastAsia="Times New Roman"/>
          <w:color w:val="auto"/>
        </w:rPr>
        <w:t xml:space="preserve"> </w:t>
      </w:r>
    </w:p>
    <w:p w14:paraId="59747D51"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Nos preços da proposta, deverão estar inclusos todas as despesas e custos diretos e indiretos, como impostos, taxas e fretes;</w:t>
      </w:r>
    </w:p>
    <w:p w14:paraId="64F8855C"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As proponentes deverão apresentar preços unitários e totais, conforme quadro abaixo:</w:t>
      </w:r>
    </w:p>
    <w:tbl>
      <w:tblPr>
        <w:tblStyle w:val="Tabelacomgrade"/>
        <w:tblW w:w="8500" w:type="dxa"/>
        <w:tblLayout w:type="fixed"/>
        <w:tblLook w:val="04A0" w:firstRow="1" w:lastRow="0" w:firstColumn="1" w:lastColumn="0" w:noHBand="0" w:noVBand="1"/>
      </w:tblPr>
      <w:tblGrid>
        <w:gridCol w:w="750"/>
        <w:gridCol w:w="2506"/>
        <w:gridCol w:w="1559"/>
        <w:gridCol w:w="1417"/>
        <w:gridCol w:w="1276"/>
        <w:gridCol w:w="992"/>
      </w:tblGrid>
      <w:tr w:rsidR="0073337A" w14:paraId="7E48E012" w14:textId="77777777" w:rsidTr="00C459BE">
        <w:trPr>
          <w:trHeight w:val="300"/>
        </w:trPr>
        <w:tc>
          <w:tcPr>
            <w:tcW w:w="750" w:type="dxa"/>
          </w:tcPr>
          <w:p w14:paraId="2D20FAB5" w14:textId="77777777" w:rsidR="0073337A" w:rsidRDefault="0073337A" w:rsidP="00C459B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ITEM</w:t>
            </w:r>
          </w:p>
        </w:tc>
        <w:tc>
          <w:tcPr>
            <w:tcW w:w="2506" w:type="dxa"/>
          </w:tcPr>
          <w:p w14:paraId="653EB4E3" w14:textId="77777777" w:rsidR="0073337A" w:rsidRDefault="0073337A" w:rsidP="00C459B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DESCRIÇÃO</w:t>
            </w:r>
          </w:p>
        </w:tc>
        <w:tc>
          <w:tcPr>
            <w:tcW w:w="1559" w:type="dxa"/>
          </w:tcPr>
          <w:p w14:paraId="31AE5F14" w14:textId="77777777" w:rsidR="0073337A" w:rsidRDefault="0073337A" w:rsidP="00C459B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QUANTIDADE</w:t>
            </w:r>
          </w:p>
        </w:tc>
        <w:tc>
          <w:tcPr>
            <w:tcW w:w="1417" w:type="dxa"/>
          </w:tcPr>
          <w:p w14:paraId="09824A5A" w14:textId="77777777" w:rsidR="0073337A" w:rsidRDefault="0073337A" w:rsidP="00C459B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UNIDADE</w:t>
            </w:r>
          </w:p>
        </w:tc>
        <w:tc>
          <w:tcPr>
            <w:tcW w:w="1276" w:type="dxa"/>
          </w:tcPr>
          <w:p w14:paraId="666B0821" w14:textId="77777777" w:rsidR="0073337A" w:rsidRDefault="0073337A" w:rsidP="00C459B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PREÇO UNITÁRIO</w:t>
            </w:r>
          </w:p>
        </w:tc>
        <w:tc>
          <w:tcPr>
            <w:tcW w:w="992" w:type="dxa"/>
          </w:tcPr>
          <w:p w14:paraId="3323C4FD" w14:textId="77777777" w:rsidR="0073337A" w:rsidRDefault="0073337A" w:rsidP="00C459BE">
            <w:pPr>
              <w:pStyle w:val="Default"/>
              <w:spacing w:line="360" w:lineRule="auto"/>
              <w:rPr>
                <w:rFonts w:eastAsia="Times New Roman"/>
                <w:color w:val="000000" w:themeColor="text1"/>
                <w:sz w:val="20"/>
                <w:szCs w:val="20"/>
              </w:rPr>
            </w:pPr>
            <w:r w:rsidRPr="7ECB85F5">
              <w:rPr>
                <w:rFonts w:eastAsia="Times New Roman"/>
                <w:color w:val="000000" w:themeColor="text1"/>
                <w:sz w:val="20"/>
                <w:szCs w:val="20"/>
              </w:rPr>
              <w:t>PREÇO TOTAL</w:t>
            </w:r>
          </w:p>
        </w:tc>
      </w:tr>
      <w:tr w:rsidR="0073337A" w14:paraId="3E6E7571" w14:textId="77777777" w:rsidTr="00C459BE">
        <w:trPr>
          <w:trHeight w:val="1170"/>
        </w:trPr>
        <w:tc>
          <w:tcPr>
            <w:tcW w:w="750" w:type="dxa"/>
          </w:tcPr>
          <w:p w14:paraId="4CC8FB4A" w14:textId="77777777" w:rsidR="0073337A" w:rsidRDefault="0073337A" w:rsidP="00C459B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1</w:t>
            </w:r>
          </w:p>
        </w:tc>
        <w:tc>
          <w:tcPr>
            <w:tcW w:w="2506" w:type="dxa"/>
          </w:tcPr>
          <w:p w14:paraId="555D1D53" w14:textId="77777777" w:rsidR="0073337A" w:rsidRDefault="0073337A" w:rsidP="00C459BE">
            <w:pPr>
              <w:spacing w:line="360" w:lineRule="auto"/>
              <w:rPr>
                <w:rFonts w:hint="eastAsia"/>
              </w:rPr>
            </w:pPr>
            <w:r>
              <w:t xml:space="preserve">Prestação de serviços em consultoria técnica para atenuação sonora e condicionamento acústico dos seguintes ambientes da futura sede própria do CNMP: </w:t>
            </w:r>
          </w:p>
          <w:p w14:paraId="703AD204" w14:textId="77777777" w:rsidR="0073337A" w:rsidRDefault="0073337A" w:rsidP="00C459BE">
            <w:pPr>
              <w:spacing w:line="360" w:lineRule="auto"/>
              <w:rPr>
                <w:rFonts w:hint="eastAsia"/>
              </w:rPr>
            </w:pPr>
            <w:r>
              <w:t xml:space="preserve">1. Ambientes de Plenário, Auditório e Estúdio; </w:t>
            </w:r>
          </w:p>
          <w:p w14:paraId="1B97CDA1" w14:textId="77777777" w:rsidR="0073337A" w:rsidRDefault="0073337A" w:rsidP="00C459BE">
            <w:pPr>
              <w:spacing w:line="360" w:lineRule="auto"/>
              <w:rPr>
                <w:rFonts w:hint="eastAsia"/>
              </w:rPr>
            </w:pPr>
            <w:r>
              <w:t>2. Biblioteca</w:t>
            </w:r>
          </w:p>
          <w:p w14:paraId="29B85BCD" w14:textId="77777777" w:rsidR="0073337A" w:rsidRDefault="0073337A" w:rsidP="00C459BE">
            <w:pPr>
              <w:spacing w:line="360" w:lineRule="auto"/>
              <w:rPr>
                <w:rFonts w:hint="eastAsia"/>
              </w:rPr>
            </w:pPr>
            <w:r>
              <w:t>3. Salas de atendimento da equipe da Segurança, Secretaria de Gestão de Pessoas e na Ouvidoria Nacional;</w:t>
            </w:r>
          </w:p>
          <w:p w14:paraId="20A697CC" w14:textId="77777777" w:rsidR="0073337A" w:rsidRDefault="0073337A" w:rsidP="00C459BE">
            <w:pPr>
              <w:spacing w:line="360" w:lineRule="auto"/>
              <w:rPr>
                <w:rFonts w:hint="eastAsia"/>
              </w:rPr>
            </w:pPr>
            <w:r>
              <w:lastRenderedPageBreak/>
              <w:t xml:space="preserve">4. Salas de reuniões distribuídas no térreo e 1º Pavimento; </w:t>
            </w:r>
          </w:p>
          <w:p w14:paraId="321A3C29" w14:textId="77777777" w:rsidR="0073337A" w:rsidRDefault="0073337A" w:rsidP="00C459BE">
            <w:pPr>
              <w:spacing w:line="360" w:lineRule="auto"/>
              <w:rPr>
                <w:rFonts w:ascii="Times New Roman" w:eastAsia="Times New Roman" w:hAnsi="Times New Roman" w:cs="Times New Roman"/>
                <w:color w:val="000000" w:themeColor="text1"/>
                <w:sz w:val="20"/>
                <w:szCs w:val="20"/>
              </w:rPr>
            </w:pPr>
            <w:r>
              <w:t>5. Gabinete de autoridades (caso mais crítico).</w:t>
            </w:r>
          </w:p>
        </w:tc>
        <w:tc>
          <w:tcPr>
            <w:tcW w:w="1559" w:type="dxa"/>
          </w:tcPr>
          <w:p w14:paraId="3382BC93" w14:textId="77777777" w:rsidR="0073337A" w:rsidRDefault="0073337A" w:rsidP="00C459BE">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01</w:t>
            </w:r>
          </w:p>
        </w:tc>
        <w:tc>
          <w:tcPr>
            <w:tcW w:w="1417" w:type="dxa"/>
          </w:tcPr>
          <w:p w14:paraId="39891869" w14:textId="77777777" w:rsidR="0073337A" w:rsidRDefault="0073337A"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Unidade</w:t>
            </w:r>
          </w:p>
        </w:tc>
        <w:tc>
          <w:tcPr>
            <w:tcW w:w="1276" w:type="dxa"/>
          </w:tcPr>
          <w:p w14:paraId="5B7A5926" w14:textId="77777777" w:rsidR="0073337A" w:rsidRDefault="0073337A" w:rsidP="00C459BE">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R$ </w:t>
            </w:r>
          </w:p>
        </w:tc>
        <w:tc>
          <w:tcPr>
            <w:tcW w:w="992" w:type="dxa"/>
          </w:tcPr>
          <w:p w14:paraId="7FBADAF2" w14:textId="77777777" w:rsidR="0073337A" w:rsidRDefault="0073337A" w:rsidP="00C459BE">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R$</w:t>
            </w:r>
          </w:p>
        </w:tc>
      </w:tr>
      <w:tr w:rsidR="0073337A" w14:paraId="49C956D7" w14:textId="77777777" w:rsidTr="00C459BE">
        <w:trPr>
          <w:trHeight w:val="1170"/>
        </w:trPr>
        <w:tc>
          <w:tcPr>
            <w:tcW w:w="750" w:type="dxa"/>
          </w:tcPr>
          <w:p w14:paraId="2E9C4FE3" w14:textId="77777777" w:rsidR="0073337A" w:rsidRPr="4E79D129" w:rsidRDefault="0073337A" w:rsidP="00C459BE">
            <w:pPr>
              <w:pStyle w:val="Default"/>
              <w:spacing w:line="360" w:lineRule="auto"/>
              <w:rPr>
                <w:rFonts w:eastAsia="Times New Roman"/>
                <w:color w:val="000000" w:themeColor="text1"/>
                <w:sz w:val="20"/>
                <w:szCs w:val="20"/>
              </w:rPr>
            </w:pPr>
            <w:r>
              <w:rPr>
                <w:rFonts w:eastAsia="Times New Roman"/>
                <w:color w:val="000000" w:themeColor="text1"/>
                <w:sz w:val="20"/>
                <w:szCs w:val="20"/>
              </w:rPr>
              <w:t>2</w:t>
            </w:r>
          </w:p>
        </w:tc>
        <w:tc>
          <w:tcPr>
            <w:tcW w:w="2506" w:type="dxa"/>
          </w:tcPr>
          <w:p w14:paraId="3DB17728" w14:textId="77777777" w:rsidR="0073337A" w:rsidRDefault="0073337A" w:rsidP="00C459BE">
            <w:pPr>
              <w:spacing w:line="360" w:lineRule="auto"/>
              <w:rPr>
                <w:rFonts w:hint="eastAsia"/>
              </w:rPr>
            </w:pPr>
            <w:r>
              <w:t xml:space="preserve">Prestação de serviços em consultoria técnica para atenuação sonora e condicionamento acústico dos seguintes ambientes da atual sede do CNMP: </w:t>
            </w:r>
          </w:p>
          <w:p w14:paraId="5C34FC24" w14:textId="77777777" w:rsidR="0073337A" w:rsidRDefault="0073337A" w:rsidP="00B2057A">
            <w:pPr>
              <w:pStyle w:val="PargrafodaLista"/>
              <w:numPr>
                <w:ilvl w:val="0"/>
                <w:numId w:val="26"/>
              </w:numPr>
              <w:spacing w:line="360" w:lineRule="auto"/>
              <w:rPr>
                <w:rFonts w:hint="eastAsia"/>
              </w:rPr>
            </w:pPr>
            <w:r>
              <w:t>Plenário</w:t>
            </w:r>
          </w:p>
          <w:p w14:paraId="77B9DD46" w14:textId="77777777" w:rsidR="0073337A" w:rsidRDefault="0073337A" w:rsidP="00B2057A">
            <w:pPr>
              <w:pStyle w:val="PargrafodaLista"/>
              <w:numPr>
                <w:ilvl w:val="0"/>
                <w:numId w:val="26"/>
              </w:numPr>
              <w:spacing w:line="360" w:lineRule="auto"/>
              <w:rPr>
                <w:rFonts w:hint="eastAsia"/>
              </w:rPr>
            </w:pPr>
            <w:r>
              <w:t>Estúdio</w:t>
            </w:r>
          </w:p>
          <w:p w14:paraId="306AAB5C" w14:textId="77777777" w:rsidR="0073337A" w:rsidRDefault="0073337A" w:rsidP="00B2057A">
            <w:pPr>
              <w:pStyle w:val="PargrafodaLista"/>
              <w:numPr>
                <w:ilvl w:val="0"/>
                <w:numId w:val="26"/>
              </w:numPr>
              <w:spacing w:line="360" w:lineRule="auto"/>
              <w:rPr>
                <w:rFonts w:hint="eastAsia"/>
              </w:rPr>
            </w:pPr>
            <w:r>
              <w:t>Biblioteca</w:t>
            </w:r>
          </w:p>
          <w:p w14:paraId="073CB5AD" w14:textId="77777777" w:rsidR="0073337A" w:rsidRDefault="0073337A" w:rsidP="00B2057A">
            <w:pPr>
              <w:pStyle w:val="PargrafodaLista"/>
              <w:numPr>
                <w:ilvl w:val="0"/>
                <w:numId w:val="26"/>
              </w:numPr>
              <w:spacing w:line="360" w:lineRule="auto"/>
              <w:rPr>
                <w:rFonts w:hint="eastAsia"/>
              </w:rPr>
            </w:pPr>
            <w:r>
              <w:t>Salas de Reunião</w:t>
            </w:r>
          </w:p>
          <w:p w14:paraId="3F126BBD" w14:textId="77777777" w:rsidR="0073337A" w:rsidRDefault="0073337A" w:rsidP="00B2057A">
            <w:pPr>
              <w:pStyle w:val="PargrafodaLista"/>
              <w:numPr>
                <w:ilvl w:val="0"/>
                <w:numId w:val="26"/>
              </w:numPr>
              <w:spacing w:line="360" w:lineRule="auto"/>
              <w:rPr>
                <w:rFonts w:hint="eastAsia"/>
              </w:rPr>
            </w:pPr>
            <w:r>
              <w:t>Gabinetes de autoridades (caso mais crítico).</w:t>
            </w:r>
          </w:p>
        </w:tc>
        <w:tc>
          <w:tcPr>
            <w:tcW w:w="1559" w:type="dxa"/>
          </w:tcPr>
          <w:p w14:paraId="40BC0CD9" w14:textId="77777777" w:rsidR="0073337A" w:rsidRDefault="0073337A" w:rsidP="00C459BE">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p>
        </w:tc>
        <w:tc>
          <w:tcPr>
            <w:tcW w:w="1417" w:type="dxa"/>
          </w:tcPr>
          <w:p w14:paraId="0945BCD9" w14:textId="77777777" w:rsidR="0073337A" w:rsidRDefault="0073337A"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Unidade</w:t>
            </w:r>
          </w:p>
        </w:tc>
        <w:tc>
          <w:tcPr>
            <w:tcW w:w="1276" w:type="dxa"/>
          </w:tcPr>
          <w:p w14:paraId="536A8668" w14:textId="77777777" w:rsidR="0073337A" w:rsidRDefault="0073337A" w:rsidP="00C459BE">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w:t>
            </w:r>
          </w:p>
        </w:tc>
        <w:tc>
          <w:tcPr>
            <w:tcW w:w="992" w:type="dxa"/>
          </w:tcPr>
          <w:p w14:paraId="38B318C0" w14:textId="77777777" w:rsidR="0073337A" w:rsidRDefault="0073337A" w:rsidP="00C459BE">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w:t>
            </w:r>
          </w:p>
        </w:tc>
      </w:tr>
    </w:tbl>
    <w:p w14:paraId="4C154ED2" w14:textId="77777777" w:rsidR="0073337A" w:rsidRDefault="0073337A" w:rsidP="0073337A">
      <w:pPr>
        <w:pStyle w:val="Default"/>
        <w:spacing w:line="360" w:lineRule="auto"/>
        <w:ind w:left="720"/>
        <w:jc w:val="both"/>
        <w:rPr>
          <w:rFonts w:eastAsia="Times New Roman"/>
          <w:color w:val="auto"/>
        </w:rPr>
      </w:pPr>
    </w:p>
    <w:p w14:paraId="687DAA86" w14:textId="77777777" w:rsidR="0073337A" w:rsidRPr="00C275FA" w:rsidRDefault="0073337A" w:rsidP="0073337A">
      <w:pPr>
        <w:spacing w:line="360" w:lineRule="auto"/>
        <w:jc w:val="both"/>
        <w:rPr>
          <w:rFonts w:ascii="Times New Roman" w:eastAsia="Times New Roman" w:hAnsi="Times New Roman" w:cs="Times New Roman"/>
        </w:rPr>
      </w:pPr>
    </w:p>
    <w:p w14:paraId="3803C786"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ALTERAÇÃO SUBJETIVA</w:t>
      </w:r>
    </w:p>
    <w:p w14:paraId="040A284A"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4B852BC" w14:textId="77777777" w:rsidR="0073337A" w:rsidRPr="00C275FA" w:rsidRDefault="0073337A" w:rsidP="0073337A">
      <w:pPr>
        <w:pStyle w:val="Default"/>
        <w:spacing w:line="360" w:lineRule="auto"/>
        <w:ind w:firstLine="720"/>
        <w:jc w:val="both"/>
        <w:rPr>
          <w:rFonts w:eastAsia="Times New Roman"/>
          <w:color w:val="auto"/>
        </w:rPr>
      </w:pPr>
    </w:p>
    <w:p w14:paraId="7E4AC472" w14:textId="77777777" w:rsidR="0073337A" w:rsidRPr="00D61E55"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155F3491" w14:textId="77777777" w:rsidR="0073337A" w:rsidRPr="00D61E55" w:rsidRDefault="0073337A" w:rsidP="00B2057A">
      <w:pPr>
        <w:pStyle w:val="Default"/>
        <w:numPr>
          <w:ilvl w:val="1"/>
          <w:numId w:val="23"/>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 14.133/2021</w:t>
      </w:r>
      <w:r w:rsidRPr="22451288">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00704891" w14:textId="77777777" w:rsidR="0073337A" w:rsidRPr="00D61E55" w:rsidRDefault="0073337A" w:rsidP="00B2057A">
      <w:pPr>
        <w:pStyle w:val="Default"/>
        <w:numPr>
          <w:ilvl w:val="1"/>
          <w:numId w:val="23"/>
        </w:numPr>
        <w:spacing w:line="360" w:lineRule="auto"/>
        <w:ind w:left="0" w:firstLine="0"/>
        <w:jc w:val="both"/>
        <w:rPr>
          <w:rFonts w:eastAsia="Times New Roman"/>
          <w:color w:val="auto"/>
        </w:rPr>
      </w:pPr>
      <w:r w:rsidRPr="10B6189A">
        <w:rPr>
          <w:rFonts w:eastAsia="Times New Roman"/>
          <w:color w:val="auto"/>
        </w:rPr>
        <w:t>As decisões e providências que ultrapassarem a competência do gestor e do fiscal deverão ser solicitadas ao seu superior, em tempo hábil para adoção das medidas convenientes (art. 117, §2º</w:t>
      </w:r>
      <w:r w:rsidRPr="10B6189A">
        <w:rPr>
          <w:rFonts w:ascii="Segoe UI" w:eastAsia="Segoe UI" w:hAnsi="Segoe UI" w:cs="Segoe UI"/>
          <w:color w:val="auto"/>
          <w:sz w:val="19"/>
          <w:szCs w:val="19"/>
        </w:rPr>
        <w:t xml:space="preserve"> </w:t>
      </w:r>
      <w:r w:rsidRPr="10B6189A">
        <w:rPr>
          <w:rFonts w:eastAsia="Times New Roman"/>
          <w:color w:val="auto"/>
        </w:rPr>
        <w:t xml:space="preserve">da Lei 14.133/2021); </w:t>
      </w:r>
    </w:p>
    <w:p w14:paraId="6E9C8464" w14:textId="77777777" w:rsidR="0073337A" w:rsidRPr="00D61E55" w:rsidRDefault="0073337A" w:rsidP="00B2057A">
      <w:pPr>
        <w:pStyle w:val="Default"/>
        <w:numPr>
          <w:ilvl w:val="1"/>
          <w:numId w:val="23"/>
        </w:numPr>
        <w:spacing w:line="360" w:lineRule="auto"/>
        <w:ind w:left="0" w:firstLine="0"/>
        <w:jc w:val="both"/>
        <w:rPr>
          <w:rFonts w:eastAsia="Times New Roman"/>
          <w:color w:val="auto"/>
        </w:rPr>
      </w:pPr>
      <w:r w:rsidRPr="00D61E55">
        <w:rPr>
          <w:rFonts w:eastAsia="Times New Roman"/>
          <w:color w:val="auto"/>
        </w:rPr>
        <w:t xml:space="preserve">O contrato assinado ou a ordem de serviço acompanhada da Nota de Empenho constituirão documentos de autorização para a execução dos serviços; </w:t>
      </w:r>
    </w:p>
    <w:p w14:paraId="058FE67F"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C45E5C0">
        <w:rPr>
          <w:rFonts w:eastAsia="Times New Roman"/>
          <w:color w:val="auto"/>
        </w:rPr>
        <w:t>Os</w:t>
      </w:r>
      <w:r w:rsidRPr="1C45E5C0">
        <w:rPr>
          <w:rFonts w:eastAsia="Times New Roman"/>
          <w:b/>
          <w:bCs/>
          <w:color w:val="auto"/>
        </w:rPr>
        <w:t xml:space="preserve"> </w:t>
      </w:r>
      <w:r w:rsidRPr="1C45E5C0">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7C8A4005"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5EC6EE42" w14:textId="77777777" w:rsidR="0073337A" w:rsidRDefault="0073337A" w:rsidP="00B2057A">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Quaisquer exigências da Fiscalização, inerentes ao objeto da presente contratação, deverão ser prontamente atendidas pela Contratada.</w:t>
      </w:r>
    </w:p>
    <w:p w14:paraId="10AF504B" w14:textId="77777777" w:rsidR="0073337A" w:rsidRDefault="0073337A" w:rsidP="00B2057A">
      <w:pPr>
        <w:pStyle w:val="Default"/>
        <w:numPr>
          <w:ilvl w:val="1"/>
          <w:numId w:val="23"/>
        </w:numPr>
        <w:spacing w:line="360" w:lineRule="auto"/>
        <w:ind w:left="0" w:firstLine="0"/>
        <w:jc w:val="both"/>
        <w:rPr>
          <w:rFonts w:eastAsia="Times New Roman"/>
          <w:color w:val="auto"/>
        </w:rPr>
      </w:pPr>
      <w:r w:rsidRPr="00985DE6">
        <w:rPr>
          <w:rFonts w:eastAsia="Times New Roman"/>
          <w:color w:val="auto"/>
        </w:rPr>
        <w:t>Após a assinatura do contrato, a CONTRATADA deverá apresentar ao gestor do contrato</w:t>
      </w:r>
      <w:r>
        <w:rPr>
          <w:rFonts w:eastAsia="Times New Roman"/>
          <w:color w:val="auto"/>
        </w:rPr>
        <w:t>:</w:t>
      </w:r>
    </w:p>
    <w:p w14:paraId="30A7F974" w14:textId="77777777" w:rsidR="0073337A" w:rsidRPr="00C275FA" w:rsidRDefault="0073337A" w:rsidP="00B2057A">
      <w:pPr>
        <w:pStyle w:val="Default"/>
        <w:numPr>
          <w:ilvl w:val="2"/>
          <w:numId w:val="23"/>
        </w:numPr>
        <w:spacing w:line="360" w:lineRule="auto"/>
        <w:ind w:left="2160"/>
        <w:jc w:val="both"/>
        <w:rPr>
          <w:rFonts w:eastAsia="Times New Roman"/>
          <w:color w:val="auto"/>
        </w:rPr>
      </w:pPr>
      <w:r w:rsidRPr="00AF6367">
        <w:rPr>
          <w:rFonts w:eastAsia="Times New Roman"/>
          <w:color w:val="auto"/>
        </w:rPr>
        <w:t>Apresentar a Anotação de Responsabilidade Técnica - A.R.T. realizado junto ao Conselho Regional de Engenharia, Arquitetura e Agronomia do Distrito Federal – CREA/DF</w:t>
      </w:r>
      <w:r>
        <w:rPr>
          <w:rFonts w:eastAsia="Times New Roman"/>
          <w:color w:val="auto"/>
        </w:rPr>
        <w:t>; ou R</w:t>
      </w:r>
      <w:r w:rsidRPr="005F17C9">
        <w:rPr>
          <w:rFonts w:eastAsia="Times New Roman"/>
          <w:color w:val="auto"/>
        </w:rPr>
        <w:t>egistro de Responsabilidade Técnica</w:t>
      </w:r>
      <w:r>
        <w:rPr>
          <w:rFonts w:eastAsia="Times New Roman"/>
          <w:color w:val="auto"/>
        </w:rPr>
        <w:t xml:space="preserve"> – R.R.T. </w:t>
      </w:r>
      <w:r w:rsidRPr="00AF6367">
        <w:rPr>
          <w:rFonts w:eastAsia="Times New Roman"/>
          <w:color w:val="auto"/>
        </w:rPr>
        <w:t>realizado junto ao</w:t>
      </w:r>
      <w:r>
        <w:rPr>
          <w:rFonts w:eastAsia="Times New Roman"/>
          <w:color w:val="auto"/>
        </w:rPr>
        <w:t xml:space="preserve"> </w:t>
      </w:r>
      <w:r w:rsidRPr="00BB17C1">
        <w:rPr>
          <w:rFonts w:eastAsia="Times New Roman"/>
          <w:color w:val="auto"/>
        </w:rPr>
        <w:t xml:space="preserve">Conselho de Arquitetura e Urbanismo </w:t>
      </w:r>
      <w:r>
        <w:rPr>
          <w:rFonts w:eastAsia="Times New Roman"/>
          <w:color w:val="auto"/>
        </w:rPr>
        <w:t xml:space="preserve">– </w:t>
      </w:r>
      <w:r w:rsidRPr="00BB17C1">
        <w:rPr>
          <w:rFonts w:eastAsia="Times New Roman"/>
          <w:color w:val="auto"/>
        </w:rPr>
        <w:t>CAU</w:t>
      </w:r>
      <w:r>
        <w:rPr>
          <w:rFonts w:eastAsia="Times New Roman"/>
          <w:color w:val="auto"/>
        </w:rPr>
        <w:t>/DF, a depender do ramo de atuação da CONTRATADA;</w:t>
      </w:r>
      <w:r w:rsidRPr="00AF6367">
        <w:rPr>
          <w:rFonts w:eastAsia="Times New Roman"/>
          <w:color w:val="auto"/>
        </w:rPr>
        <w:t xml:space="preserve"> referente à </w:t>
      </w:r>
      <w:r>
        <w:rPr>
          <w:rFonts w:eastAsia="Times New Roman"/>
          <w:color w:val="auto"/>
        </w:rPr>
        <w:t xml:space="preserve">prestação dos serviços contratados </w:t>
      </w:r>
      <w:r w:rsidRPr="00AF6367">
        <w:rPr>
          <w:rFonts w:eastAsia="Times New Roman"/>
          <w:color w:val="auto"/>
        </w:rPr>
        <w:t>para a apreciação e aprovação por parte da CONTRATANTE, em até 05 (dias) dias contados do recebimento da ordem de serviço de início do contrato</w:t>
      </w:r>
      <w:r>
        <w:rPr>
          <w:rFonts w:eastAsia="Times New Roman"/>
          <w:color w:val="auto"/>
        </w:rPr>
        <w:t>.</w:t>
      </w:r>
    </w:p>
    <w:p w14:paraId="3719B76D" w14:textId="77777777" w:rsidR="0073337A" w:rsidRPr="00C275FA" w:rsidRDefault="0073337A" w:rsidP="0073337A">
      <w:pPr>
        <w:pStyle w:val="Default"/>
        <w:spacing w:line="360" w:lineRule="auto"/>
        <w:jc w:val="both"/>
        <w:rPr>
          <w:rFonts w:eastAsia="Times New Roman"/>
          <w:color w:val="auto"/>
        </w:rPr>
      </w:pPr>
    </w:p>
    <w:p w14:paraId="709E93BB"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 xml:space="preserve">PREPOSTO </w:t>
      </w:r>
    </w:p>
    <w:p w14:paraId="0E96638C"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00E130F3">
        <w:rPr>
          <w:rFonts w:eastAsia="Times New Roman"/>
          <w:color w:val="auto"/>
        </w:rPr>
        <w:lastRenderedPageBreak/>
        <w:t xml:space="preserve">A CONTRATADA deverá manter preposto aceito pelo CONTRATANTE durante o período de execução do objeto, para representá-la administrativamente, sempre que for necessário, o qual deverá ser indicado mediante declaração </w:t>
      </w:r>
      <w:r w:rsidRPr="00E130F3">
        <w:rPr>
          <w:rFonts w:eastAsia="Times New Roman"/>
          <w:color w:val="000000" w:themeColor="text1"/>
        </w:rPr>
        <w:t>FORMAL/ESCRITA</w:t>
      </w:r>
      <w:r>
        <w:t xml:space="preserve"> </w:t>
      </w:r>
      <w:r w:rsidRPr="00E130F3">
        <w:rPr>
          <w:rFonts w:eastAsia="Times New Roman"/>
          <w:color w:val="auto"/>
        </w:rPr>
        <w:t>em que deverá constar o nome completo, nº CPF e do documento de identidade, além dos dados relacionados à sua qualificação profissional;</w:t>
      </w:r>
    </w:p>
    <w:p w14:paraId="3A75BA04"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516E0238"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O preposto deverá estar apto a esclarecer as questões relacionadas às faturas dos serviços prestados; </w:t>
      </w:r>
    </w:p>
    <w:p w14:paraId="04580539"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orientará o seu preposto quanto à necessidade de acatar as orientações do CONTRATANTE, inclusive quanto ao cumprimento das Normas Internas de Segurança e de Sustentabilidade;</w:t>
      </w:r>
    </w:p>
    <w:p w14:paraId="3FCD1E3E" w14:textId="77777777" w:rsidR="0073337A" w:rsidRPr="004638DE" w:rsidRDefault="0073337A" w:rsidP="00B2057A">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3B0E15C1" w14:textId="77777777" w:rsidR="0073337A" w:rsidRDefault="0073337A" w:rsidP="0073337A">
      <w:pPr>
        <w:pStyle w:val="Default"/>
        <w:spacing w:line="360" w:lineRule="auto"/>
        <w:jc w:val="both"/>
        <w:rPr>
          <w:rFonts w:eastAsia="Times New Roman"/>
          <w:b/>
          <w:bCs/>
          <w:color w:val="auto"/>
        </w:rPr>
      </w:pPr>
    </w:p>
    <w:p w14:paraId="26654FCD" w14:textId="77777777" w:rsidR="0073337A" w:rsidRPr="006319B9"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17B33847" w14:textId="77777777" w:rsidR="0073337A" w:rsidRPr="006319B9" w:rsidRDefault="0073337A" w:rsidP="00B2057A">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 xml:space="preserve">O CONTRATANTE </w:t>
      </w:r>
      <w:r>
        <w:rPr>
          <w:rFonts w:eastAsia="Times New Roman"/>
          <w:color w:val="auto"/>
        </w:rPr>
        <w:t>efetuará o pagamento</w:t>
      </w:r>
      <w:r w:rsidRPr="00E130F3">
        <w:rPr>
          <w:rFonts w:eastAsia="Times New Roman"/>
          <w:color w:val="auto"/>
        </w:rPr>
        <w:t xml:space="preserve"> à CONTRATADA, pelos serviços efetivamente prestados</w:t>
      </w:r>
      <w:r w:rsidRPr="00E130F3">
        <w:rPr>
          <w:rFonts w:eastAsiaTheme="minorEastAsia"/>
          <w:color w:val="auto"/>
        </w:rPr>
        <w:t xml:space="preserve">, </w:t>
      </w:r>
      <w:r>
        <w:rPr>
          <w:rFonts w:eastAsiaTheme="minorEastAsia"/>
          <w:color w:val="auto"/>
        </w:rPr>
        <w:t xml:space="preserve">conforme Cronograma Físico-Financeiro apresentado no item 8.1, </w:t>
      </w:r>
      <w:r w:rsidRPr="00E130F3">
        <w:rPr>
          <w:rFonts w:eastAsiaTheme="minorEastAsia"/>
          <w:color w:val="auto"/>
        </w:rPr>
        <w:t xml:space="preserve">em até 10 (dez) dias úteis, </w:t>
      </w:r>
      <w:r w:rsidRPr="00E130F3">
        <w:rPr>
          <w:rFonts w:eastAsia="Times New Roman"/>
          <w:color w:val="auto"/>
        </w:rPr>
        <w:t xml:space="preserve">contados a partir da data de recebimento definitivo do objeto, acompanhado do atesto do Fiscal do contrato. </w:t>
      </w:r>
    </w:p>
    <w:p w14:paraId="5182B63C" w14:textId="77777777" w:rsidR="0073337A" w:rsidRPr="006319B9" w:rsidRDefault="0073337A" w:rsidP="00B2057A">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 xml:space="preserve">Caso a CONTRATADA seja optante pelo “SIMPLES” (Lei nº 9.317/96), será obrigada a informar no corpo da nota fiscal e apresentar declaração, na forma do Anexo IV da Instrução Normativa </w:t>
      </w:r>
      <w:r w:rsidRPr="00E130F3">
        <w:rPr>
          <w:color w:val="000000" w:themeColor="text1"/>
        </w:rPr>
        <w:t xml:space="preserve">RFB </w:t>
      </w:r>
      <w:r w:rsidRPr="00E130F3">
        <w:rPr>
          <w:rFonts w:eastAsia="Times New Roman"/>
          <w:color w:val="auto"/>
        </w:rPr>
        <w:t xml:space="preserve">nº 1.234, de 11/01/2012, em duas vias, assinadas pelo seu representante legal; </w:t>
      </w:r>
    </w:p>
    <w:p w14:paraId="1E960FB7"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O pagamento será feito por meio de depósito na conta</w:t>
      </w:r>
      <w:r>
        <w:rPr>
          <w:rFonts w:eastAsia="Times New Roman"/>
          <w:color w:val="auto"/>
        </w:rPr>
        <w:t xml:space="preserve"> </w:t>
      </w:r>
      <w:r w:rsidRPr="00E130F3">
        <w:rPr>
          <w:rFonts w:eastAsia="Times New Roman"/>
          <w:color w:val="auto"/>
        </w:rPr>
        <w:t>corrente da CONTRATADA, através de Ordem Bancária, mediante apresentação da respectiva Nota Fiscal/Fatura do serviço;</w:t>
      </w:r>
    </w:p>
    <w:p w14:paraId="7DE592E1"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 xml:space="preserve">Para execução do pagamento de que trata a presente Cláusula, a CONTRATADA deverá fazer constar como beneficiário/cliente, da Nota Fiscal/Fatura correspondente, emitida sem rasuras, o CONSELHO NACIONAL DO MINISTÉRIO PÚBLICO, CNPJ nº 11.439.520/0001-11, e ainda, o </w:t>
      </w:r>
      <w:r w:rsidRPr="00E130F3">
        <w:rPr>
          <w:rFonts w:eastAsia="Times New Roman"/>
          <w:color w:val="auto"/>
        </w:rPr>
        <w:lastRenderedPageBreak/>
        <w:t>número da Nota de Empenho, os números do Banco, da Agência e da Conta-Corrente da CONTRATADA, e a descrição clara e sucinta do objeto;</w:t>
      </w:r>
    </w:p>
    <w:p w14:paraId="6B40B2CE"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Sobre o valor da nota fiscal, a CONTRATANTE fará as retenções devidas ao INSS e as dos impostos e contribuições previstas na Instrução Normativa SRF nº 1.234, de 11/01/2012;</w:t>
      </w:r>
    </w:p>
    <w:p w14:paraId="2C18666C"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A CONTRATADA deverá, ainda, junto à Nota Fiscal/Fatura, apresentar os documentos comprobatórios de regularidade fiscal e trabalhista, exigidos no Termo de Referência;</w:t>
      </w:r>
    </w:p>
    <w:p w14:paraId="3F1E1221"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A apresentação de certidões atrasadas ou irregulares com a nota fiscal ensejará anotação do fiscal no registro próprio, e criará pendência a ser sanada pela Contratada;</w:t>
      </w:r>
    </w:p>
    <w:p w14:paraId="7FAA4E1B"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43836502"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Nenhum pagamento será efetuado à CONTRATADA, enquanto pendente de liquidação qualquer obrigação financeira que lhe for imposta, em virtude de penalidade ou inadimplência contratual, sem que isso gere direito a acréscimos de qualquer natureza;</w:t>
      </w:r>
    </w:p>
    <w:p w14:paraId="22C6D9AA" w14:textId="77777777" w:rsidR="0073337A" w:rsidRPr="00C275FA" w:rsidRDefault="0073337A" w:rsidP="0073337A">
      <w:pPr>
        <w:pStyle w:val="Default"/>
        <w:spacing w:line="360" w:lineRule="auto"/>
        <w:ind w:firstLine="720"/>
        <w:jc w:val="both"/>
        <w:rPr>
          <w:rFonts w:eastAsia="Times New Roman"/>
          <w:color w:val="auto"/>
        </w:rPr>
      </w:pPr>
    </w:p>
    <w:p w14:paraId="419923BA" w14:textId="77777777" w:rsidR="0073337A" w:rsidRPr="007755EF"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2AFC6FA9" w14:textId="77777777" w:rsidR="0073337A" w:rsidRPr="00DE738D" w:rsidRDefault="0073337A" w:rsidP="00B2057A">
      <w:pPr>
        <w:pStyle w:val="Default"/>
        <w:numPr>
          <w:ilvl w:val="1"/>
          <w:numId w:val="23"/>
        </w:numPr>
        <w:spacing w:before="240" w:line="360" w:lineRule="auto"/>
        <w:ind w:left="0" w:firstLine="0"/>
        <w:jc w:val="both"/>
        <w:rPr>
          <w:rFonts w:eastAsia="Times New Roman"/>
          <w:color w:val="auto"/>
        </w:rPr>
      </w:pPr>
      <w:r w:rsidRPr="00DE738D">
        <w:rPr>
          <w:rFonts w:eastAsia="Times New Roman"/>
          <w:color w:val="auto"/>
        </w:rPr>
        <w:t xml:space="preserve">Com fundamento na Portaria CNMP-SG nº 153/2023 e no art. 156, inciso III, da Lei 14.133/2021, </w:t>
      </w:r>
      <w:r w:rsidRPr="00DE738D">
        <w:rPr>
          <w:rFonts w:eastAsia="Times New Roman"/>
          <w:b/>
          <w:bCs/>
          <w:color w:val="auto"/>
        </w:rPr>
        <w:t>ficará impedida de licitar e contratar com a Administração Pública direta e indireta da União</w:t>
      </w:r>
      <w:r w:rsidRPr="00DE738D">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31547F1C" w14:textId="77777777" w:rsidR="0073337A" w:rsidRPr="00DE738D" w:rsidRDefault="0073337A" w:rsidP="00B2057A">
      <w:pPr>
        <w:pStyle w:val="Default"/>
        <w:numPr>
          <w:ilvl w:val="2"/>
          <w:numId w:val="23"/>
        </w:numPr>
        <w:spacing w:line="360" w:lineRule="auto"/>
        <w:ind w:left="2124" w:firstLine="0"/>
        <w:jc w:val="both"/>
        <w:rPr>
          <w:rFonts w:eastAsia="Times New Roman"/>
          <w:color w:val="auto"/>
        </w:rPr>
      </w:pPr>
      <w:r w:rsidRPr="00DE738D">
        <w:rPr>
          <w:rFonts w:eastAsia="Times New Roman"/>
          <w:color w:val="auto"/>
        </w:rPr>
        <w:t xml:space="preserve">Der causa à inexecução parcial do contrato que cause grave dano à Administração, ao funcionamento dos serviços públicos ou ao interesse coletivo - prazo de 1 (um) ano; </w:t>
      </w:r>
    </w:p>
    <w:p w14:paraId="119D3169" w14:textId="77777777" w:rsidR="0073337A" w:rsidRPr="00DE738D" w:rsidRDefault="0073337A" w:rsidP="00B2057A">
      <w:pPr>
        <w:pStyle w:val="Default"/>
        <w:numPr>
          <w:ilvl w:val="2"/>
          <w:numId w:val="23"/>
        </w:numPr>
        <w:spacing w:line="360" w:lineRule="auto"/>
        <w:ind w:left="2124" w:firstLine="0"/>
        <w:jc w:val="both"/>
        <w:rPr>
          <w:rFonts w:eastAsia="Times New Roman"/>
          <w:color w:val="auto"/>
        </w:rPr>
      </w:pPr>
      <w:r w:rsidRPr="00DE738D">
        <w:rPr>
          <w:rFonts w:eastAsia="Times New Roman"/>
          <w:color w:val="auto"/>
        </w:rPr>
        <w:t xml:space="preserve">Der causa à inexecução total do contrato - prazo de 2 (dois) anos; </w:t>
      </w:r>
    </w:p>
    <w:p w14:paraId="567D539F" w14:textId="77777777" w:rsidR="0073337A" w:rsidRPr="00DE738D" w:rsidRDefault="0073337A" w:rsidP="00B2057A">
      <w:pPr>
        <w:pStyle w:val="Default"/>
        <w:numPr>
          <w:ilvl w:val="2"/>
          <w:numId w:val="23"/>
        </w:numPr>
        <w:spacing w:line="360" w:lineRule="auto"/>
        <w:ind w:left="2124" w:firstLine="0"/>
        <w:jc w:val="both"/>
        <w:rPr>
          <w:rFonts w:eastAsia="Times New Roman"/>
          <w:color w:val="auto"/>
        </w:rPr>
      </w:pPr>
      <w:r w:rsidRPr="00DE738D">
        <w:rPr>
          <w:rFonts w:eastAsia="Times New Roman"/>
          <w:color w:val="auto"/>
        </w:rPr>
        <w:t xml:space="preserve">Deixar de entregar a documentação exigida para o certame - prazo de 3 (três) meses; </w:t>
      </w:r>
    </w:p>
    <w:p w14:paraId="20FDE9BC" w14:textId="77777777" w:rsidR="0073337A" w:rsidRPr="00DE738D" w:rsidRDefault="0073337A" w:rsidP="00B2057A">
      <w:pPr>
        <w:pStyle w:val="Default"/>
        <w:numPr>
          <w:ilvl w:val="2"/>
          <w:numId w:val="23"/>
        </w:numPr>
        <w:spacing w:line="360" w:lineRule="auto"/>
        <w:ind w:left="2124" w:firstLine="0"/>
        <w:jc w:val="both"/>
        <w:rPr>
          <w:rFonts w:eastAsia="Times New Roman"/>
          <w:color w:val="auto"/>
        </w:rPr>
      </w:pPr>
      <w:r w:rsidRPr="00DE738D">
        <w:rPr>
          <w:rFonts w:eastAsia="Times New Roman"/>
          <w:color w:val="auto"/>
        </w:rPr>
        <w:t xml:space="preserve">Não manter a proposta, salvo em decorrência de fato superveniente devidamente justificado - prazo de 6 (seis) meses; </w:t>
      </w:r>
    </w:p>
    <w:p w14:paraId="47FC8526" w14:textId="77777777" w:rsidR="0073337A" w:rsidRDefault="0073337A" w:rsidP="00B2057A">
      <w:pPr>
        <w:pStyle w:val="Default"/>
        <w:numPr>
          <w:ilvl w:val="2"/>
          <w:numId w:val="23"/>
        </w:numPr>
        <w:spacing w:line="360" w:lineRule="auto"/>
        <w:ind w:left="2124" w:firstLine="0"/>
        <w:jc w:val="both"/>
        <w:rPr>
          <w:rFonts w:eastAsia="Times New Roman"/>
          <w:color w:val="auto"/>
        </w:rPr>
      </w:pPr>
      <w:r w:rsidRPr="00DE738D">
        <w:rPr>
          <w:rFonts w:eastAsia="Times New Roman"/>
          <w:color w:val="auto"/>
        </w:rPr>
        <w:lastRenderedPageBreak/>
        <w:t>Considera-se não manutenção da proposta:</w:t>
      </w:r>
      <w:r>
        <w:rPr>
          <w:rFonts w:eastAsia="Times New Roman"/>
          <w:color w:val="auto"/>
        </w:rPr>
        <w:t xml:space="preserve"> </w:t>
      </w:r>
    </w:p>
    <w:p w14:paraId="3D8CD0F5" w14:textId="77777777" w:rsidR="0073337A" w:rsidRPr="001E0955" w:rsidRDefault="0073337A" w:rsidP="0073337A">
      <w:pPr>
        <w:pStyle w:val="Default"/>
        <w:spacing w:line="360" w:lineRule="auto"/>
        <w:ind w:left="2124"/>
        <w:jc w:val="both"/>
        <w:rPr>
          <w:rFonts w:eastAsia="Times New Roman"/>
          <w:color w:val="auto"/>
        </w:rPr>
      </w:pPr>
      <w:r w:rsidRPr="001E0955">
        <w:rPr>
          <w:rFonts w:eastAsia="Times New Roman"/>
          <w:color w:val="auto"/>
        </w:rPr>
        <w:t>i.</w:t>
      </w:r>
      <w:r w:rsidRPr="001E0955">
        <w:rPr>
          <w:rFonts w:eastAsia="Times New Roman"/>
          <w:color w:val="auto"/>
        </w:rPr>
        <w:tab/>
        <w:t xml:space="preserve">a ausência do seu envio; </w:t>
      </w:r>
    </w:p>
    <w:p w14:paraId="5E390BC9" w14:textId="77777777" w:rsidR="0073337A" w:rsidRPr="001E0955" w:rsidRDefault="0073337A" w:rsidP="0073337A">
      <w:pPr>
        <w:pStyle w:val="Default"/>
        <w:spacing w:line="360" w:lineRule="auto"/>
        <w:ind w:left="2124"/>
        <w:jc w:val="both"/>
        <w:rPr>
          <w:rFonts w:eastAsia="Times New Roman"/>
          <w:color w:val="auto"/>
        </w:rPr>
      </w:pPr>
      <w:proofErr w:type="spellStart"/>
      <w:r w:rsidRPr="001E0955">
        <w:rPr>
          <w:rFonts w:eastAsia="Times New Roman"/>
          <w:color w:val="auto"/>
        </w:rPr>
        <w:t>ii</w:t>
      </w:r>
      <w:proofErr w:type="spellEnd"/>
      <w:r w:rsidRPr="001E0955">
        <w:rPr>
          <w:rFonts w:eastAsia="Times New Roman"/>
          <w:color w:val="auto"/>
        </w:rPr>
        <w:t>.</w:t>
      </w:r>
      <w:r w:rsidRPr="001E0955">
        <w:rPr>
          <w:rFonts w:eastAsia="Times New Roman"/>
          <w:color w:val="auto"/>
        </w:rPr>
        <w:tab/>
        <w:t xml:space="preserve">a recusa do seu detalhamento, quando exigido; </w:t>
      </w:r>
    </w:p>
    <w:p w14:paraId="4D86147B" w14:textId="77777777" w:rsidR="0073337A" w:rsidRDefault="0073337A" w:rsidP="0073337A">
      <w:pPr>
        <w:pStyle w:val="Default"/>
        <w:spacing w:line="360" w:lineRule="auto"/>
        <w:ind w:left="2124"/>
        <w:jc w:val="both"/>
        <w:rPr>
          <w:rFonts w:eastAsia="Times New Roman"/>
          <w:color w:val="auto"/>
        </w:rPr>
      </w:pPr>
      <w:proofErr w:type="spellStart"/>
      <w:r w:rsidRPr="001E0955">
        <w:rPr>
          <w:rFonts w:eastAsia="Times New Roman"/>
          <w:color w:val="auto"/>
        </w:rPr>
        <w:t>iii</w:t>
      </w:r>
      <w:proofErr w:type="spellEnd"/>
      <w:r w:rsidRPr="001E0955">
        <w:rPr>
          <w:rFonts w:eastAsia="Times New Roman"/>
          <w:color w:val="auto"/>
        </w:rPr>
        <w:t>.</w:t>
      </w:r>
      <w:r w:rsidRPr="001E0955">
        <w:rPr>
          <w:rFonts w:eastAsia="Times New Roman"/>
          <w:color w:val="auto"/>
        </w:rPr>
        <w:tab/>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2BCC9331"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Não celebrar o contrato ou não entregar a documentação exigida para a contratação, quando convocado dentro do prazo de validade de sua proposta - prazo de 1 (um) ano;</w:t>
      </w:r>
    </w:p>
    <w:p w14:paraId="623796D7" w14:textId="77777777" w:rsidR="0073337A" w:rsidRPr="00A834CB" w:rsidRDefault="0073337A" w:rsidP="00B2057A">
      <w:pPr>
        <w:pStyle w:val="Default"/>
        <w:numPr>
          <w:ilvl w:val="3"/>
          <w:numId w:val="23"/>
        </w:numPr>
        <w:spacing w:line="360" w:lineRule="auto"/>
        <w:jc w:val="both"/>
        <w:rPr>
          <w:rFonts w:eastAsia="Times New Roman"/>
          <w:color w:val="auto"/>
        </w:rPr>
      </w:pPr>
      <w:r w:rsidRPr="00A834CB">
        <w:rPr>
          <w:rFonts w:eastAsia="Times New Roman"/>
          <w:color w:val="auto"/>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09A2A05C"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Ensejar o retardamento da execução ou da entrega do objeto da licitação sem motivo justificado - prazo de 3 (três) meses.</w:t>
      </w:r>
    </w:p>
    <w:p w14:paraId="3EEE8C44" w14:textId="77777777" w:rsidR="0073337A" w:rsidRPr="00A834CB" w:rsidRDefault="0073337A" w:rsidP="00B2057A">
      <w:pPr>
        <w:pStyle w:val="Default"/>
        <w:numPr>
          <w:ilvl w:val="3"/>
          <w:numId w:val="23"/>
        </w:numPr>
        <w:spacing w:line="360" w:lineRule="auto"/>
        <w:jc w:val="both"/>
        <w:rPr>
          <w:rFonts w:eastAsia="Times New Roman"/>
          <w:color w:val="auto"/>
        </w:rPr>
      </w:pPr>
      <w:r w:rsidRPr="00A834CB">
        <w:rPr>
          <w:rFonts w:eastAsia="Times New Roman"/>
          <w:color w:val="auto"/>
        </w:rPr>
        <w:t>Considera-se retardar a execução do objeto a ação ou omissão que prejudique o bom andamento do certame, evidencie tentativa de indução a erro no julgamento ou atrase a assinatura do contrato ou da Ata de Registro de Preços.</w:t>
      </w:r>
    </w:p>
    <w:p w14:paraId="6087D1EF" w14:textId="77777777" w:rsidR="0073337A" w:rsidRPr="00A834CB" w:rsidRDefault="0073337A" w:rsidP="00B2057A">
      <w:pPr>
        <w:pStyle w:val="Default"/>
        <w:numPr>
          <w:ilvl w:val="1"/>
          <w:numId w:val="23"/>
        </w:numPr>
        <w:spacing w:line="360" w:lineRule="auto"/>
        <w:ind w:left="1440"/>
        <w:jc w:val="both"/>
        <w:rPr>
          <w:rFonts w:eastAsia="Times New Roman"/>
          <w:color w:val="auto"/>
        </w:rPr>
      </w:pPr>
      <w:r w:rsidRPr="00A834CB">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558DB7BB"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Advertência - aplicada exclusivamente para a infração administrativa de inexecução parcial do contrato de natureza leve e que não cause grave dano à Administração, quando não se justificar a imposição de penalidade mais grave.</w:t>
      </w:r>
    </w:p>
    <w:p w14:paraId="38CE6F14" w14:textId="77777777" w:rsidR="0073337A" w:rsidRPr="00A834CB" w:rsidRDefault="0073337A" w:rsidP="00B2057A">
      <w:pPr>
        <w:pStyle w:val="Default"/>
        <w:numPr>
          <w:ilvl w:val="3"/>
          <w:numId w:val="23"/>
        </w:numPr>
        <w:spacing w:line="360" w:lineRule="auto"/>
        <w:jc w:val="both"/>
        <w:rPr>
          <w:rFonts w:eastAsia="Times New Roman"/>
          <w:color w:val="auto"/>
        </w:rPr>
      </w:pPr>
      <w:r w:rsidRPr="00A834CB">
        <w:rPr>
          <w:rFonts w:eastAsia="Times New Roman"/>
          <w:color w:val="auto"/>
        </w:rPr>
        <w:lastRenderedPageBreak/>
        <w:t>Considera-se falta leve o descumprimento contratual que não acarrete prejuízo significativo para a Administração e não interfira diretamente na execução do objeto principal da contratação.</w:t>
      </w:r>
    </w:p>
    <w:p w14:paraId="62882C8D"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Multa aplicada nas seguintes hipóteses e nas demais previstas na tabela de penalidades deste termo de referência:</w:t>
      </w:r>
    </w:p>
    <w:p w14:paraId="1D2218B5" w14:textId="77777777" w:rsidR="0073337A" w:rsidRPr="00A834CB" w:rsidRDefault="0073337A" w:rsidP="00B2057A">
      <w:pPr>
        <w:pStyle w:val="Default"/>
        <w:numPr>
          <w:ilvl w:val="3"/>
          <w:numId w:val="23"/>
        </w:numPr>
        <w:spacing w:line="360" w:lineRule="auto"/>
        <w:jc w:val="both"/>
        <w:rPr>
          <w:rFonts w:eastAsia="Times New Roman"/>
          <w:color w:val="auto"/>
        </w:rPr>
      </w:pPr>
      <w:r w:rsidRPr="00A834CB">
        <w:rPr>
          <w:rFonts w:eastAsia="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p>
    <w:p w14:paraId="401A986B" w14:textId="77777777" w:rsidR="0073337A" w:rsidRPr="00A834CB" w:rsidRDefault="0073337A" w:rsidP="00B2057A">
      <w:pPr>
        <w:pStyle w:val="Default"/>
        <w:numPr>
          <w:ilvl w:val="3"/>
          <w:numId w:val="23"/>
        </w:numPr>
        <w:spacing w:line="360" w:lineRule="auto"/>
        <w:jc w:val="both"/>
        <w:rPr>
          <w:rFonts w:eastAsia="Times New Roman"/>
          <w:color w:val="auto"/>
        </w:rPr>
      </w:pPr>
      <w:r w:rsidRPr="00A834CB">
        <w:rPr>
          <w:rFonts w:eastAsia="Times New Roman"/>
          <w:color w:val="auto"/>
        </w:rPr>
        <w:t>Multa compensatória de 20% sobre a parcela inadimplida ou, sobre o valor da fatura correspondente ao período que tenha ocorrido a falta, em caso de inexecução parcial.</w:t>
      </w:r>
    </w:p>
    <w:p w14:paraId="57561158" w14:textId="77777777" w:rsidR="0073337A" w:rsidRPr="00A834CB" w:rsidRDefault="0073337A" w:rsidP="00B2057A">
      <w:pPr>
        <w:pStyle w:val="Default"/>
        <w:numPr>
          <w:ilvl w:val="4"/>
          <w:numId w:val="23"/>
        </w:numPr>
        <w:spacing w:line="360" w:lineRule="auto"/>
        <w:jc w:val="both"/>
        <w:rPr>
          <w:rFonts w:eastAsia="Times New Roman"/>
          <w:color w:val="auto"/>
        </w:rPr>
      </w:pPr>
      <w:r w:rsidRPr="00A834CB">
        <w:rPr>
          <w:rFonts w:eastAsia="Times New Roman"/>
          <w:color w:val="auto"/>
        </w:rPr>
        <w:t>Considera-se inexecução parcial o atraso superior a 3 (três) dias para início da execução contratual; ou a Interrupção dos serviços definidos no contrato por 4 (quatro) dias seguidos ou 15 (quinze) dias intercalados no período de 12 (doze) meses;</w:t>
      </w:r>
    </w:p>
    <w:p w14:paraId="1BE439F5" w14:textId="77777777" w:rsidR="0073337A" w:rsidRPr="00A834CB" w:rsidRDefault="0073337A" w:rsidP="00B2057A">
      <w:pPr>
        <w:pStyle w:val="Default"/>
        <w:numPr>
          <w:ilvl w:val="3"/>
          <w:numId w:val="23"/>
        </w:numPr>
        <w:spacing w:line="360" w:lineRule="auto"/>
        <w:jc w:val="both"/>
        <w:rPr>
          <w:rFonts w:eastAsia="Times New Roman"/>
          <w:color w:val="auto"/>
        </w:rPr>
      </w:pPr>
      <w:r w:rsidRPr="00A834CB">
        <w:rPr>
          <w:rFonts w:eastAsia="Times New Roman"/>
          <w:color w:val="auto"/>
        </w:rPr>
        <w:t>Multa compensatória de 30% sobre o valor total do contrato, na hipótese de inexecução total.</w:t>
      </w:r>
    </w:p>
    <w:p w14:paraId="1D902F71" w14:textId="77777777" w:rsidR="0073337A" w:rsidRPr="00A834CB" w:rsidRDefault="0073337A" w:rsidP="00B2057A">
      <w:pPr>
        <w:pStyle w:val="Default"/>
        <w:numPr>
          <w:ilvl w:val="4"/>
          <w:numId w:val="23"/>
        </w:numPr>
        <w:spacing w:line="360" w:lineRule="auto"/>
        <w:jc w:val="both"/>
        <w:rPr>
          <w:rFonts w:eastAsia="Times New Roman"/>
          <w:color w:val="auto"/>
        </w:rPr>
      </w:pPr>
      <w:r w:rsidRPr="00A834CB">
        <w:rPr>
          <w:rFonts w:eastAsia="Times New Roman"/>
          <w:color w:val="auto"/>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w:t>
      </w:r>
    </w:p>
    <w:p w14:paraId="3F78C7CF" w14:textId="77777777" w:rsidR="0073337A" w:rsidRPr="00A834CB" w:rsidRDefault="0073337A" w:rsidP="00B2057A">
      <w:pPr>
        <w:pStyle w:val="Default"/>
        <w:numPr>
          <w:ilvl w:val="3"/>
          <w:numId w:val="23"/>
        </w:numPr>
        <w:spacing w:line="360" w:lineRule="auto"/>
        <w:jc w:val="both"/>
        <w:rPr>
          <w:rFonts w:eastAsia="Times New Roman"/>
          <w:color w:val="auto"/>
        </w:rPr>
      </w:pPr>
      <w:r w:rsidRPr="00A834CB">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w:t>
      </w:r>
      <w:r w:rsidRPr="00A834CB">
        <w:rPr>
          <w:rFonts w:eastAsia="Times New Roman"/>
          <w:color w:val="auto"/>
        </w:rPr>
        <w:lastRenderedPageBreak/>
        <w:t>cento) relativamente ao mês em que o pagamento estiver sendo efetuado.</w:t>
      </w:r>
    </w:p>
    <w:p w14:paraId="17962E29" w14:textId="77777777" w:rsidR="0073337A" w:rsidRPr="00A834CB" w:rsidRDefault="0073337A" w:rsidP="00B2057A">
      <w:pPr>
        <w:pStyle w:val="Default"/>
        <w:numPr>
          <w:ilvl w:val="1"/>
          <w:numId w:val="23"/>
        </w:numPr>
        <w:spacing w:line="360" w:lineRule="auto"/>
        <w:ind w:left="1440"/>
        <w:jc w:val="both"/>
        <w:rPr>
          <w:rFonts w:eastAsia="Times New Roman"/>
          <w:color w:val="auto"/>
        </w:rPr>
      </w:pPr>
      <w:r w:rsidRPr="00A834CB">
        <w:rPr>
          <w:rFonts w:eastAsia="Times New Roman"/>
          <w:color w:val="auto"/>
        </w:rPr>
        <w:t>A sanção de Declaração de Inidoneidade para Licitar ou Contratar com a Administração Pública direta e indireta de todos os entes federativos será aplicada pelo prazo mínimo de 3 (três) anos e máximo de 6 (seis) anos, nos termos do art. 156, § 5º, da Lei nº 14.133/2021, e decorre das seguintes condutas e pelos seguintes prazos:</w:t>
      </w:r>
    </w:p>
    <w:p w14:paraId="7775AC30"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Apresentar declaração ou documentação falsa exigida para o certame ou prestar declaração falsa durante a licitação ou a execução do contrato; Prazo - 4 (quatro) anos.</w:t>
      </w:r>
    </w:p>
    <w:p w14:paraId="785BB0B5"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Fraudar a licitação ou praticar ato fraudulento na execução do contrato; Prazo - 5 (cinco) anos.</w:t>
      </w:r>
    </w:p>
    <w:p w14:paraId="709718F2" w14:textId="77777777" w:rsidR="0073337A" w:rsidRPr="00A834CB" w:rsidRDefault="0073337A" w:rsidP="00B2057A">
      <w:pPr>
        <w:pStyle w:val="Default"/>
        <w:numPr>
          <w:ilvl w:val="3"/>
          <w:numId w:val="23"/>
        </w:numPr>
        <w:spacing w:line="360" w:lineRule="auto"/>
        <w:jc w:val="both"/>
        <w:rPr>
          <w:rFonts w:eastAsia="Times New Roman"/>
          <w:color w:val="auto"/>
        </w:rPr>
      </w:pPr>
      <w:r w:rsidRPr="00A834CB">
        <w:rPr>
          <w:rFonts w:eastAsia="Times New Roman"/>
          <w:color w:val="auto"/>
        </w:rPr>
        <w:t>Considera-se fraudar a execução contratual a prática de qualquer ato destinado a obtenção de vantagem ilícita, induzindo ou mantendo em erro a Administração Pública.</w:t>
      </w:r>
    </w:p>
    <w:p w14:paraId="6FA4EC3B"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Comportar-se de modo inidôneo ou cometer fraude de qualquer natureza; Prazo - 5 (cinco) anos.</w:t>
      </w:r>
    </w:p>
    <w:p w14:paraId="25077810" w14:textId="77777777" w:rsidR="0073337A" w:rsidRPr="00A834CB" w:rsidRDefault="0073337A" w:rsidP="00B2057A">
      <w:pPr>
        <w:pStyle w:val="Default"/>
        <w:numPr>
          <w:ilvl w:val="3"/>
          <w:numId w:val="23"/>
        </w:numPr>
        <w:spacing w:line="360" w:lineRule="auto"/>
        <w:jc w:val="both"/>
        <w:rPr>
          <w:rFonts w:eastAsia="Times New Roman"/>
          <w:color w:val="auto"/>
        </w:rPr>
      </w:pPr>
      <w:r w:rsidRPr="00A834CB">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2A95D58E"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Praticar atos ilícitos com vistas a frustrar os objetivos da licitação; Prazo - 5 (cinco) anos.</w:t>
      </w:r>
    </w:p>
    <w:p w14:paraId="512E76F6"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Praticar ato lesivo previsto no art. 5º da Lei nº 12.846, de 1º de agosto de 2013; Prazo - 6 (seis) anos.</w:t>
      </w:r>
    </w:p>
    <w:p w14:paraId="7E96950E" w14:textId="77777777" w:rsidR="0073337A" w:rsidRPr="00A834CB" w:rsidRDefault="0073337A" w:rsidP="00B2057A">
      <w:pPr>
        <w:pStyle w:val="Default"/>
        <w:numPr>
          <w:ilvl w:val="1"/>
          <w:numId w:val="23"/>
        </w:numPr>
        <w:spacing w:line="360" w:lineRule="auto"/>
        <w:ind w:left="1440"/>
        <w:jc w:val="both"/>
        <w:rPr>
          <w:rFonts w:eastAsia="Times New Roman"/>
          <w:color w:val="auto"/>
        </w:rPr>
      </w:pPr>
      <w:r w:rsidRPr="00A834CB">
        <w:rPr>
          <w:rFonts w:eastAsia="Times New Roman"/>
          <w:color w:val="auto"/>
        </w:rPr>
        <w:lastRenderedPageBreak/>
        <w:t>As sanções de impedimento de licitar e contratar e de declaração de inidoneidade para licitar ou contratar admitem a reabilitação do licitante ou contratado perante a própria autoridade que aplicou a penalidade, exigidos, cumulativamente:</w:t>
      </w:r>
    </w:p>
    <w:p w14:paraId="71E1242F"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Reparação integral do dano causado à Administração Pública;</w:t>
      </w:r>
    </w:p>
    <w:p w14:paraId="653600B4"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Pagamento da multa;</w:t>
      </w:r>
    </w:p>
    <w:p w14:paraId="63C5ED4E"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Transcurso do prazo mínimo de 1 (um) ano da aplicação da penalidade, no caso de impedimento de licitar e contratar, ou de 3 (três) anos da aplicação da penalidade, no caso de declaração de inidoneidade;</w:t>
      </w:r>
    </w:p>
    <w:p w14:paraId="3B2DA31A"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Cumprimento das condições de reabilitação definidas no ato sancionador;</w:t>
      </w:r>
    </w:p>
    <w:p w14:paraId="60D6E726"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Análise jurídica prévia, com posicionamento conclusivo quanto ao cumprimento dos requisitos definidos neste artigo.</w:t>
      </w:r>
    </w:p>
    <w:p w14:paraId="2F6E7A51" w14:textId="77777777" w:rsidR="0073337A" w:rsidRPr="00A834CB" w:rsidRDefault="0073337A" w:rsidP="00B2057A">
      <w:pPr>
        <w:pStyle w:val="Default"/>
        <w:numPr>
          <w:ilvl w:val="1"/>
          <w:numId w:val="23"/>
        </w:numPr>
        <w:spacing w:line="360" w:lineRule="auto"/>
        <w:ind w:left="1440"/>
        <w:jc w:val="both"/>
        <w:rPr>
          <w:rFonts w:eastAsia="Times New Roman"/>
          <w:color w:val="auto"/>
        </w:rPr>
      </w:pPr>
      <w:r w:rsidRPr="00A834CB">
        <w:rPr>
          <w:rFonts w:eastAsia="Times New Roman"/>
          <w:color w:val="auto"/>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3C574347" w14:textId="77777777" w:rsidR="0073337A" w:rsidRPr="00A834CB" w:rsidRDefault="0073337A" w:rsidP="00B2057A">
      <w:pPr>
        <w:pStyle w:val="Default"/>
        <w:numPr>
          <w:ilvl w:val="1"/>
          <w:numId w:val="23"/>
        </w:numPr>
        <w:spacing w:line="360" w:lineRule="auto"/>
        <w:ind w:left="1440"/>
        <w:jc w:val="both"/>
        <w:rPr>
          <w:rFonts w:eastAsia="Times New Roman"/>
          <w:color w:val="auto"/>
        </w:rPr>
      </w:pPr>
      <w:r w:rsidRPr="00A834CB">
        <w:rPr>
          <w:rFonts w:eastAsia="Times New Roman"/>
          <w:color w:val="auto"/>
        </w:rPr>
        <w:t>Caso a contratada ou licitante não efetue o recolhimento da Guia de Recolhimento da União (GRU) referente à multa aplicada no prazo máximo de 15 (quinze) dias úteis, a contar do recebimento da notificação pela licitante ou contratada sancionada o valor será, sucessivamente:</w:t>
      </w:r>
    </w:p>
    <w:p w14:paraId="7ABCCA10"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 xml:space="preserve">Descontado dos créditos que a contratada </w:t>
      </w:r>
      <w:proofErr w:type="spellStart"/>
      <w:r w:rsidRPr="00A834CB">
        <w:rPr>
          <w:rFonts w:eastAsia="Times New Roman"/>
          <w:color w:val="auto"/>
        </w:rPr>
        <w:t>fizer</w:t>
      </w:r>
      <w:proofErr w:type="spellEnd"/>
      <w:r w:rsidRPr="00A834CB">
        <w:rPr>
          <w:rFonts w:eastAsia="Times New Roman"/>
          <w:color w:val="auto"/>
        </w:rPr>
        <w:t xml:space="preserve"> jus, no âmbito da mesma contratação;</w:t>
      </w:r>
    </w:p>
    <w:p w14:paraId="37A0CEC2"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Descontado da garantia contratual;</w:t>
      </w:r>
    </w:p>
    <w:p w14:paraId="2F28C790" w14:textId="77777777" w:rsidR="0073337A" w:rsidRPr="00A834CB" w:rsidRDefault="0073337A" w:rsidP="00B2057A">
      <w:pPr>
        <w:pStyle w:val="Default"/>
        <w:numPr>
          <w:ilvl w:val="2"/>
          <w:numId w:val="23"/>
        </w:numPr>
        <w:spacing w:line="360" w:lineRule="auto"/>
        <w:ind w:left="2160"/>
        <w:jc w:val="both"/>
        <w:rPr>
          <w:rFonts w:eastAsia="Times New Roman"/>
          <w:color w:val="auto"/>
        </w:rPr>
      </w:pPr>
      <w:r w:rsidRPr="00A834CB">
        <w:rPr>
          <w:rFonts w:eastAsia="Times New Roman"/>
          <w:color w:val="auto"/>
        </w:rPr>
        <w:t>Cobrado judicialmente.</w:t>
      </w:r>
    </w:p>
    <w:p w14:paraId="4A7CA60B" w14:textId="77777777" w:rsidR="0073337A" w:rsidRPr="00A834CB" w:rsidRDefault="0073337A" w:rsidP="00B2057A">
      <w:pPr>
        <w:pStyle w:val="Default"/>
        <w:numPr>
          <w:ilvl w:val="1"/>
          <w:numId w:val="23"/>
        </w:numPr>
        <w:spacing w:line="360" w:lineRule="auto"/>
        <w:ind w:left="1440"/>
        <w:jc w:val="both"/>
        <w:rPr>
          <w:rFonts w:eastAsia="Times New Roman"/>
          <w:color w:val="auto"/>
        </w:rPr>
      </w:pPr>
      <w:r w:rsidRPr="00A834CB">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A834CB">
        <w:rPr>
          <w:rFonts w:eastAsia="Times New Roman"/>
          <w:color w:val="auto"/>
        </w:rPr>
        <w:t>Ceis</w:t>
      </w:r>
      <w:proofErr w:type="spellEnd"/>
      <w:r w:rsidRPr="00A834CB">
        <w:rPr>
          <w:rFonts w:eastAsia="Times New Roman"/>
          <w:color w:val="auto"/>
        </w:rPr>
        <w:t>) e no Cadastro Nacional de Empresas Punidas (</w:t>
      </w:r>
      <w:proofErr w:type="spellStart"/>
      <w:r w:rsidRPr="00A834CB">
        <w:rPr>
          <w:rFonts w:eastAsia="Times New Roman"/>
          <w:color w:val="auto"/>
        </w:rPr>
        <w:t>Cnep</w:t>
      </w:r>
      <w:proofErr w:type="spellEnd"/>
      <w:r w:rsidRPr="00A834CB">
        <w:rPr>
          <w:rFonts w:eastAsia="Times New Roman"/>
          <w:color w:val="auto"/>
        </w:rPr>
        <w:t>).</w:t>
      </w:r>
    </w:p>
    <w:p w14:paraId="2AFADFD2" w14:textId="77777777" w:rsidR="0073337A" w:rsidRPr="00D0127A" w:rsidRDefault="0073337A" w:rsidP="00B2057A">
      <w:pPr>
        <w:pStyle w:val="Default"/>
        <w:numPr>
          <w:ilvl w:val="1"/>
          <w:numId w:val="23"/>
        </w:numPr>
        <w:spacing w:line="360" w:lineRule="auto"/>
        <w:ind w:left="1440"/>
        <w:jc w:val="both"/>
        <w:rPr>
          <w:rFonts w:eastAsia="Times New Roman"/>
          <w:color w:val="auto"/>
        </w:rPr>
      </w:pPr>
      <w:r w:rsidRPr="00D0127A">
        <w:rPr>
          <w:rFonts w:eastAsia="Times New Roman"/>
          <w:color w:val="auto"/>
        </w:rPr>
        <w:lastRenderedPageBreak/>
        <w:t>A aplicação das sanções previstas neste Termo de Referência não exclui, em hipótese alguma, a obrigação de reparação integral do dano causado à Administração Pública, nos termos do art. 156, § 9º, da Lei nº 14.133/2021</w:t>
      </w:r>
      <w:r>
        <w:rPr>
          <w:rFonts w:eastAsia="Times New Roman"/>
          <w:color w:val="auto"/>
        </w:rPr>
        <w:t>.</w:t>
      </w:r>
      <w:r w:rsidRPr="00D0127A">
        <w:rPr>
          <w:rFonts w:eastAsia="Times New Roman"/>
          <w:color w:val="auto"/>
        </w:rPr>
        <w:t xml:space="preserve"> </w:t>
      </w:r>
    </w:p>
    <w:p w14:paraId="75693D5F" w14:textId="77777777" w:rsidR="0073337A" w:rsidRPr="00A834CB" w:rsidRDefault="0073337A" w:rsidP="0073337A">
      <w:pPr>
        <w:pStyle w:val="Default"/>
        <w:spacing w:line="360" w:lineRule="auto"/>
        <w:jc w:val="both"/>
        <w:rPr>
          <w:rFonts w:eastAsia="Times New Roman"/>
          <w:color w:val="auto"/>
        </w:rPr>
      </w:pPr>
    </w:p>
    <w:p w14:paraId="61646DA8" w14:textId="77777777" w:rsidR="0073337A" w:rsidRPr="00C275FA" w:rsidRDefault="0073337A" w:rsidP="00B2057A">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TABELA DE PENALIDADES</w:t>
      </w:r>
    </w:p>
    <w:p w14:paraId="64CFA184" w14:textId="77777777" w:rsidR="0073337A" w:rsidRPr="00D0127A" w:rsidRDefault="0073337A" w:rsidP="00B2057A">
      <w:pPr>
        <w:pStyle w:val="PargrafodaLista"/>
        <w:numPr>
          <w:ilvl w:val="1"/>
          <w:numId w:val="23"/>
        </w:numPr>
        <w:spacing w:line="360" w:lineRule="auto"/>
        <w:ind w:left="0" w:firstLine="0"/>
        <w:jc w:val="both"/>
        <w:rPr>
          <w:rFonts w:ascii="Times New Roman" w:hAnsi="Times New Roman" w:cs="Times New Roman"/>
          <w:b/>
          <w:bCs/>
        </w:rPr>
      </w:pPr>
      <w:r w:rsidRPr="00D0127A">
        <w:rPr>
          <w:rFonts w:ascii="Times New Roman" w:hAnsi="Times New Roman" w:cs="Times New Roman"/>
        </w:rPr>
        <w:t>Considerações iniciais:</w:t>
      </w:r>
    </w:p>
    <w:p w14:paraId="0C743CD8" w14:textId="77777777" w:rsidR="0073337A" w:rsidRPr="00A03D6E" w:rsidRDefault="0073337A" w:rsidP="00B2057A">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624ECF8E" w14:textId="77777777" w:rsidR="0073337A" w:rsidRDefault="0073337A" w:rsidP="00B2057A">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 multa poderá ser acumulada com quaisquer outras sanções e será aplicada na seguinte forma:</w:t>
      </w:r>
    </w:p>
    <w:p w14:paraId="047D776C" w14:textId="77777777" w:rsidR="0073337A" w:rsidRPr="00C275FA" w:rsidRDefault="0073337A" w:rsidP="0073337A">
      <w:pPr>
        <w:pStyle w:val="Default"/>
        <w:spacing w:before="240" w:line="360" w:lineRule="auto"/>
        <w:ind w:left="357" w:firstLine="357"/>
        <w:jc w:val="both"/>
        <w:rPr>
          <w:rFonts w:eastAsia="Times New Roman"/>
          <w:color w:val="auto"/>
        </w:rPr>
      </w:pPr>
    </w:p>
    <w:p w14:paraId="5C5B0EDF" w14:textId="77777777" w:rsidR="0073337A" w:rsidRPr="00C275FA" w:rsidRDefault="0073337A" w:rsidP="0073337A">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73337A" w:rsidRPr="00E7240A" w14:paraId="4B26F802" w14:textId="77777777" w:rsidTr="00C459BE">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2C567A66" w14:textId="77777777" w:rsidR="0073337A" w:rsidRPr="00E7240A" w:rsidRDefault="0073337A" w:rsidP="00C459BE">
            <w:pPr>
              <w:spacing w:before="57" w:after="57"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0CA2586D" w14:textId="77777777" w:rsidR="0073337A" w:rsidRPr="00E7240A" w:rsidRDefault="0073337A" w:rsidP="00C459BE">
            <w:pPr>
              <w:spacing w:before="57" w:after="57" w:line="360" w:lineRule="auto"/>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73337A" w:rsidRPr="00E7240A" w14:paraId="7E75088F" w14:textId="77777777" w:rsidTr="00C459BE">
        <w:trPr>
          <w:trHeight w:val="1110"/>
        </w:trPr>
        <w:tc>
          <w:tcPr>
            <w:tcW w:w="6600" w:type="dxa"/>
            <w:tcBorders>
              <w:left w:val="single" w:sz="1" w:space="0" w:color="000000" w:themeColor="text1"/>
              <w:bottom w:val="single" w:sz="1" w:space="0" w:color="000000" w:themeColor="text1"/>
            </w:tcBorders>
            <w:shd w:val="clear" w:color="auto" w:fill="auto"/>
          </w:tcPr>
          <w:p w14:paraId="31053739" w14:textId="77777777" w:rsidR="0073337A" w:rsidRPr="00E7240A" w:rsidRDefault="0073337A" w:rsidP="00B2057A">
            <w:pPr>
              <w:pStyle w:val="PargrafodaLista"/>
              <w:numPr>
                <w:ilvl w:val="0"/>
                <w:numId w:val="24"/>
              </w:num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Descumprimento de obrigação contratual</w:t>
            </w:r>
          </w:p>
          <w:p w14:paraId="30245F06" w14:textId="77777777" w:rsidR="0073337A" w:rsidRPr="00E7240A" w:rsidRDefault="0073337A" w:rsidP="00C459BE">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7E5E306F" w14:textId="77777777" w:rsidR="0073337A" w:rsidRPr="00E7240A" w:rsidRDefault="0073337A" w:rsidP="00C459BE">
            <w:pPr>
              <w:autoSpaceDE w:val="0"/>
              <w:spacing w:before="57" w:after="57" w:line="360" w:lineRule="auto"/>
              <w:jc w:val="center"/>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73337A" w:rsidRPr="00E7240A" w14:paraId="38934D20" w14:textId="77777777" w:rsidTr="00C459BE">
        <w:trPr>
          <w:trHeight w:val="4110"/>
        </w:trPr>
        <w:tc>
          <w:tcPr>
            <w:tcW w:w="6600" w:type="dxa"/>
            <w:tcBorders>
              <w:left w:val="single" w:sz="1" w:space="0" w:color="000000" w:themeColor="text1"/>
              <w:bottom w:val="single" w:sz="4" w:space="0" w:color="auto"/>
            </w:tcBorders>
            <w:shd w:val="clear" w:color="auto" w:fill="auto"/>
          </w:tcPr>
          <w:p w14:paraId="6AD64810" w14:textId="77777777" w:rsidR="0073337A" w:rsidRPr="00E7240A" w:rsidRDefault="0073337A" w:rsidP="00C459B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2) Inexecução parcial</w:t>
            </w:r>
          </w:p>
          <w:p w14:paraId="3997803B" w14:textId="77777777" w:rsidR="0073337A" w:rsidRPr="00E7240A" w:rsidRDefault="0073337A" w:rsidP="00C459B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041F1900" w14:textId="77777777" w:rsidR="0073337A" w:rsidRPr="00E7240A" w:rsidRDefault="0073337A" w:rsidP="00C459B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380EC601" w14:textId="77777777" w:rsidR="0073337A" w:rsidRPr="00E7240A" w:rsidRDefault="0073337A" w:rsidP="00C459B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29CEE643" w14:textId="77777777" w:rsidR="0073337A" w:rsidRPr="00E7240A" w:rsidRDefault="0073337A" w:rsidP="00C459B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01646046" w14:textId="77777777" w:rsidR="0073337A" w:rsidRPr="00E7240A" w:rsidRDefault="0073337A" w:rsidP="00C459BE">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02CE1F4C" w14:textId="77777777" w:rsidR="0073337A" w:rsidRPr="00E7240A" w:rsidRDefault="0073337A" w:rsidP="00C459BE">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73337A" w:rsidRPr="00E7240A" w14:paraId="62E67448" w14:textId="77777777" w:rsidTr="00C459BE">
        <w:tc>
          <w:tcPr>
            <w:tcW w:w="6600" w:type="dxa"/>
            <w:tcBorders>
              <w:top w:val="single" w:sz="4" w:space="0" w:color="auto"/>
              <w:left w:val="single" w:sz="4" w:space="0" w:color="auto"/>
              <w:bottom w:val="single" w:sz="4" w:space="0" w:color="auto"/>
              <w:right w:val="single" w:sz="4" w:space="0" w:color="auto"/>
            </w:tcBorders>
            <w:shd w:val="clear" w:color="auto" w:fill="auto"/>
          </w:tcPr>
          <w:p w14:paraId="0602918A" w14:textId="77777777" w:rsidR="0073337A" w:rsidRPr="00E7240A" w:rsidRDefault="0073337A" w:rsidP="00C459B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7) Apresentação de documentação falsa</w:t>
            </w:r>
          </w:p>
          <w:p w14:paraId="2B961C3F" w14:textId="77777777" w:rsidR="0073337A" w:rsidRPr="00E7240A" w:rsidRDefault="0073337A" w:rsidP="00C459B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38C670CF" w14:textId="77777777" w:rsidR="0073337A" w:rsidRPr="00E7240A" w:rsidRDefault="0073337A" w:rsidP="00C459B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lastRenderedPageBreak/>
              <w:t xml:space="preserve">9) Praticar ato fraudulento na execução do contrato; </w:t>
            </w:r>
          </w:p>
          <w:p w14:paraId="2FE27976" w14:textId="77777777" w:rsidR="0073337A" w:rsidRPr="00E7240A" w:rsidRDefault="0073337A" w:rsidP="00C459B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1E5A698E" w14:textId="77777777" w:rsidR="0073337A" w:rsidRPr="00E7240A" w:rsidRDefault="0073337A" w:rsidP="00C459B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0D901D38" w14:textId="77777777" w:rsidR="0073337A" w:rsidRPr="00E7240A" w:rsidRDefault="0073337A" w:rsidP="00C459BE">
            <w:pPr>
              <w:spacing w:before="57" w:after="57" w:line="360" w:lineRule="auto"/>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t xml:space="preserve">12) Praticar ato lesivo previsto no </w:t>
            </w:r>
            <w:hyperlink r:id="rId21" w:anchor="art5">
              <w:r w:rsidRPr="7ECB85F5">
                <w:rPr>
                  <w:rStyle w:val="Hyperlink"/>
                  <w:rFonts w:ascii="Times New Roman" w:eastAsia="Times New Roman" w:hAnsi="Times New Roman" w:cs="Times New Roman"/>
                  <w:sz w:val="20"/>
                  <w:szCs w:val="20"/>
                </w:rPr>
                <w:t>art. 5º da Lei nº 12.846, de 1º de agosto de 2013.</w:t>
              </w:r>
            </w:hyperlink>
          </w:p>
          <w:p w14:paraId="6CBD9C65" w14:textId="77777777" w:rsidR="0073337A" w:rsidRPr="00E7240A" w:rsidRDefault="0073337A" w:rsidP="00C459BE">
            <w:pPr>
              <w:spacing w:before="57" w:after="57" w:line="360" w:lineRule="auto"/>
              <w:jc w:val="both"/>
              <w:rPr>
                <w:rFonts w:ascii="Times New Roman" w:eastAsia="Times New Roman" w:hAnsi="Times New Roman" w:cs="Times New Roman"/>
                <w:sz w:val="20"/>
                <w:szCs w:val="20"/>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4125D197" w14:textId="77777777" w:rsidR="0073337A" w:rsidRPr="00E7240A" w:rsidRDefault="0073337A" w:rsidP="00C459BE">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lastRenderedPageBreak/>
              <w:t>30% (trinta por cento) sobre o valor global do contrato</w:t>
            </w:r>
          </w:p>
        </w:tc>
      </w:tr>
    </w:tbl>
    <w:p w14:paraId="3E07D39C" w14:textId="77777777" w:rsidR="0073337A" w:rsidRDefault="0073337A" w:rsidP="0073337A">
      <w:pPr>
        <w:pStyle w:val="Default"/>
        <w:spacing w:line="360" w:lineRule="auto"/>
        <w:jc w:val="both"/>
        <w:rPr>
          <w:rFonts w:eastAsia="Times New Roman"/>
          <w:color w:val="auto"/>
        </w:rPr>
      </w:pPr>
    </w:p>
    <w:p w14:paraId="4D4DDF43" w14:textId="77777777" w:rsidR="0073337A" w:rsidRPr="00C275FA" w:rsidRDefault="0073337A" w:rsidP="00B2057A">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3F7AF424" w14:textId="77777777" w:rsidR="0073337A" w:rsidRPr="00C275FA" w:rsidRDefault="0073337A" w:rsidP="0073337A">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73337A" w:rsidRPr="00C275FA" w14:paraId="2E25D7D5" w14:textId="77777777" w:rsidTr="00C459BE">
        <w:trPr>
          <w:trHeight w:val="279"/>
          <w:jc w:val="center"/>
        </w:trPr>
        <w:tc>
          <w:tcPr>
            <w:tcW w:w="3526" w:type="dxa"/>
            <w:shd w:val="clear" w:color="auto" w:fill="BFBFBF" w:themeFill="background1" w:themeFillShade="BF"/>
          </w:tcPr>
          <w:p w14:paraId="6AF4EB02"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50E89513"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05ABE2BB"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73337A" w:rsidRPr="00C275FA" w14:paraId="3835E09D" w14:textId="77777777" w:rsidTr="00C459BE">
        <w:trPr>
          <w:trHeight w:val="107"/>
          <w:jc w:val="center"/>
        </w:trPr>
        <w:tc>
          <w:tcPr>
            <w:tcW w:w="3526" w:type="dxa"/>
          </w:tcPr>
          <w:p w14:paraId="7CD5CD2F"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312D76DE"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73337A" w:rsidRPr="00C275FA" w14:paraId="489F469D" w14:textId="77777777" w:rsidTr="00C459BE">
        <w:trPr>
          <w:trHeight w:val="107"/>
          <w:jc w:val="center"/>
        </w:trPr>
        <w:tc>
          <w:tcPr>
            <w:tcW w:w="3526" w:type="dxa"/>
          </w:tcPr>
          <w:p w14:paraId="05F6C932"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679134B1"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73337A" w:rsidRPr="00C275FA" w14:paraId="750806FE" w14:textId="77777777" w:rsidTr="00C459BE">
        <w:trPr>
          <w:trHeight w:val="107"/>
          <w:jc w:val="center"/>
        </w:trPr>
        <w:tc>
          <w:tcPr>
            <w:tcW w:w="3526" w:type="dxa"/>
          </w:tcPr>
          <w:p w14:paraId="2164C67C"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321F4788"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73337A" w:rsidRPr="00C275FA" w14:paraId="1F1EB4DC" w14:textId="77777777" w:rsidTr="00C459BE">
        <w:trPr>
          <w:trHeight w:val="107"/>
          <w:jc w:val="center"/>
        </w:trPr>
        <w:tc>
          <w:tcPr>
            <w:tcW w:w="3526" w:type="dxa"/>
          </w:tcPr>
          <w:p w14:paraId="50012F44"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587F1A3E"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73337A" w:rsidRPr="00C275FA" w14:paraId="603955F1" w14:textId="77777777" w:rsidTr="00C459BE">
        <w:trPr>
          <w:trHeight w:val="107"/>
          <w:jc w:val="center"/>
        </w:trPr>
        <w:tc>
          <w:tcPr>
            <w:tcW w:w="3526" w:type="dxa"/>
          </w:tcPr>
          <w:p w14:paraId="780D2AD1"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5 (muito grave)</w:t>
            </w:r>
          </w:p>
        </w:tc>
        <w:tc>
          <w:tcPr>
            <w:tcW w:w="3526" w:type="dxa"/>
          </w:tcPr>
          <w:p w14:paraId="2C309E65"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73337A" w:rsidRPr="00C275FA" w14:paraId="7849C630" w14:textId="77777777" w:rsidTr="00C459BE">
        <w:trPr>
          <w:trHeight w:val="107"/>
          <w:jc w:val="center"/>
        </w:trPr>
        <w:tc>
          <w:tcPr>
            <w:tcW w:w="3526" w:type="dxa"/>
          </w:tcPr>
          <w:p w14:paraId="12A2E2CF"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0DE3D407" w14:textId="77777777" w:rsidR="0073337A" w:rsidRPr="00C275FA" w:rsidRDefault="0073337A" w:rsidP="00C459B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414521BD" w14:textId="77777777" w:rsidR="0073337A" w:rsidRPr="00C275FA" w:rsidRDefault="0073337A" w:rsidP="0073337A">
      <w:pPr>
        <w:pStyle w:val="Default"/>
        <w:spacing w:line="360" w:lineRule="auto"/>
        <w:ind w:firstLine="709"/>
        <w:jc w:val="both"/>
        <w:rPr>
          <w:rFonts w:eastAsia="Times New Roman"/>
          <w:color w:val="auto"/>
        </w:rPr>
      </w:pPr>
    </w:p>
    <w:p w14:paraId="142C24B5" w14:textId="77777777" w:rsidR="0073337A" w:rsidRPr="00C275FA" w:rsidRDefault="0073337A" w:rsidP="00B2057A">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Todas as ocorrências contratuais serão registradas pelo CONTRANTE, que notificará a CONTRATADA dos registros. Serão atribuídos níveis para as ocorrências, conforme tabela abaixo:</w:t>
      </w:r>
    </w:p>
    <w:p w14:paraId="7C88ED72" w14:textId="77777777" w:rsidR="0073337A" w:rsidRPr="00C275FA" w:rsidRDefault="0073337A" w:rsidP="0073337A">
      <w:pPr>
        <w:pStyle w:val="Default"/>
        <w:spacing w:line="360" w:lineRule="auto"/>
        <w:ind w:firstLine="709"/>
        <w:rPr>
          <w:rFonts w:eastAsia="Times New Roman"/>
          <w:color w:val="auto"/>
        </w:rPr>
      </w:pPr>
    </w:p>
    <w:p w14:paraId="2C0A295F" w14:textId="77777777" w:rsidR="0073337A" w:rsidRPr="00C275FA" w:rsidRDefault="0073337A" w:rsidP="0073337A">
      <w:pPr>
        <w:pStyle w:val="Default"/>
        <w:spacing w:line="360" w:lineRule="auto"/>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73337A" w14:paraId="24E1B874" w14:textId="77777777" w:rsidTr="00C459BE">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CE1FE33"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73337A" w14:paraId="7F81C4C5" w14:textId="77777777" w:rsidTr="00C459BE">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6E1063"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3775C10"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513B133"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73337A" w14:paraId="7220F3E6" w14:textId="77777777" w:rsidTr="00C459BE">
        <w:trPr>
          <w:trHeight w:val="195"/>
        </w:trPr>
        <w:tc>
          <w:tcPr>
            <w:tcW w:w="675" w:type="dxa"/>
            <w:tcBorders>
              <w:top w:val="single" w:sz="6" w:space="0" w:color="auto"/>
              <w:left w:val="single" w:sz="6" w:space="0" w:color="auto"/>
              <w:bottom w:val="single" w:sz="6" w:space="0" w:color="auto"/>
              <w:right w:val="single" w:sz="6" w:space="0" w:color="auto"/>
            </w:tcBorders>
          </w:tcPr>
          <w:p w14:paraId="3066B234"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6ECF3973"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1EDBD256"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3337A" w14:paraId="37FCDF08" w14:textId="77777777" w:rsidTr="00C459BE">
        <w:trPr>
          <w:trHeight w:val="105"/>
        </w:trPr>
        <w:tc>
          <w:tcPr>
            <w:tcW w:w="675" w:type="dxa"/>
            <w:tcBorders>
              <w:top w:val="single" w:sz="6" w:space="0" w:color="auto"/>
              <w:left w:val="single" w:sz="6" w:space="0" w:color="auto"/>
              <w:bottom w:val="single" w:sz="6" w:space="0" w:color="auto"/>
              <w:right w:val="single" w:sz="6" w:space="0" w:color="auto"/>
            </w:tcBorders>
          </w:tcPr>
          <w:p w14:paraId="7539A368"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3F3EB981"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645F52EB"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3337A" w14:paraId="75C0E799" w14:textId="77777777" w:rsidTr="00C459BE">
        <w:trPr>
          <w:trHeight w:val="285"/>
        </w:trPr>
        <w:tc>
          <w:tcPr>
            <w:tcW w:w="675" w:type="dxa"/>
            <w:tcBorders>
              <w:top w:val="single" w:sz="6" w:space="0" w:color="auto"/>
              <w:left w:val="single" w:sz="6" w:space="0" w:color="auto"/>
              <w:bottom w:val="single" w:sz="6" w:space="0" w:color="auto"/>
              <w:right w:val="single" w:sz="6" w:space="0" w:color="auto"/>
            </w:tcBorders>
          </w:tcPr>
          <w:p w14:paraId="7B0511B1"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0C84A0B3"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5715ADFF"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3337A" w14:paraId="059462F8" w14:textId="77777777" w:rsidTr="00C459BE">
        <w:trPr>
          <w:trHeight w:val="285"/>
        </w:trPr>
        <w:tc>
          <w:tcPr>
            <w:tcW w:w="675" w:type="dxa"/>
            <w:tcBorders>
              <w:top w:val="single" w:sz="6" w:space="0" w:color="auto"/>
              <w:left w:val="single" w:sz="6" w:space="0" w:color="auto"/>
              <w:bottom w:val="single" w:sz="6" w:space="0" w:color="auto"/>
              <w:right w:val="single" w:sz="6" w:space="0" w:color="auto"/>
            </w:tcBorders>
          </w:tcPr>
          <w:p w14:paraId="0481E23B"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05D0987A"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2E7625C9"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3337A" w14:paraId="4CC8D95C" w14:textId="77777777" w:rsidTr="00C459BE">
        <w:trPr>
          <w:trHeight w:val="195"/>
        </w:trPr>
        <w:tc>
          <w:tcPr>
            <w:tcW w:w="675" w:type="dxa"/>
            <w:tcBorders>
              <w:top w:val="single" w:sz="6" w:space="0" w:color="auto"/>
              <w:left w:val="single" w:sz="6" w:space="0" w:color="auto"/>
              <w:bottom w:val="single" w:sz="6" w:space="0" w:color="auto"/>
              <w:right w:val="single" w:sz="6" w:space="0" w:color="auto"/>
            </w:tcBorders>
          </w:tcPr>
          <w:p w14:paraId="28A57A7E" w14:textId="77777777" w:rsidR="0073337A" w:rsidRDefault="0073337A"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5</w:t>
            </w:r>
          </w:p>
        </w:tc>
        <w:tc>
          <w:tcPr>
            <w:tcW w:w="6510" w:type="dxa"/>
            <w:tcBorders>
              <w:top w:val="single" w:sz="6" w:space="0" w:color="auto"/>
              <w:left w:val="single" w:sz="6" w:space="0" w:color="auto"/>
              <w:bottom w:val="single" w:sz="6" w:space="0" w:color="auto"/>
              <w:right w:val="single" w:sz="6" w:space="0" w:color="auto"/>
            </w:tcBorders>
          </w:tcPr>
          <w:p w14:paraId="6F5908AA"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45AE5A3E"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3337A" w14:paraId="59CC6262" w14:textId="77777777" w:rsidTr="00C459BE">
        <w:trPr>
          <w:trHeight w:val="285"/>
        </w:trPr>
        <w:tc>
          <w:tcPr>
            <w:tcW w:w="675" w:type="dxa"/>
            <w:tcBorders>
              <w:top w:val="single" w:sz="6" w:space="0" w:color="auto"/>
              <w:left w:val="single" w:sz="6" w:space="0" w:color="auto"/>
              <w:bottom w:val="single" w:sz="6" w:space="0" w:color="auto"/>
              <w:right w:val="single" w:sz="6" w:space="0" w:color="auto"/>
            </w:tcBorders>
          </w:tcPr>
          <w:p w14:paraId="50477A49" w14:textId="77777777" w:rsidR="0073337A" w:rsidRDefault="0073337A"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lastRenderedPageBreak/>
              <w:t>6</w:t>
            </w:r>
          </w:p>
        </w:tc>
        <w:tc>
          <w:tcPr>
            <w:tcW w:w="6510" w:type="dxa"/>
            <w:tcBorders>
              <w:top w:val="single" w:sz="6" w:space="0" w:color="auto"/>
              <w:left w:val="single" w:sz="6" w:space="0" w:color="auto"/>
              <w:bottom w:val="single" w:sz="6" w:space="0" w:color="auto"/>
              <w:right w:val="single" w:sz="6" w:space="0" w:color="auto"/>
            </w:tcBorders>
          </w:tcPr>
          <w:p w14:paraId="612B1085"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4C259B87"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73337A" w14:paraId="4510F4D3" w14:textId="77777777" w:rsidTr="00C459BE">
        <w:trPr>
          <w:trHeight w:val="285"/>
        </w:trPr>
        <w:tc>
          <w:tcPr>
            <w:tcW w:w="675" w:type="dxa"/>
            <w:tcBorders>
              <w:top w:val="single" w:sz="6" w:space="0" w:color="auto"/>
              <w:left w:val="single" w:sz="6" w:space="0" w:color="auto"/>
              <w:bottom w:val="single" w:sz="6" w:space="0" w:color="auto"/>
              <w:right w:val="single" w:sz="6" w:space="0" w:color="auto"/>
            </w:tcBorders>
          </w:tcPr>
          <w:p w14:paraId="10E7295D" w14:textId="77777777" w:rsidR="0073337A" w:rsidRDefault="0073337A"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0F2A8D82"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w:t>
            </w:r>
          </w:p>
        </w:tc>
        <w:tc>
          <w:tcPr>
            <w:tcW w:w="705" w:type="dxa"/>
            <w:tcBorders>
              <w:top w:val="single" w:sz="6" w:space="0" w:color="auto"/>
              <w:left w:val="single" w:sz="6" w:space="0" w:color="auto"/>
              <w:bottom w:val="single" w:sz="6" w:space="0" w:color="auto"/>
              <w:right w:val="single" w:sz="6" w:space="0" w:color="auto"/>
            </w:tcBorders>
          </w:tcPr>
          <w:p w14:paraId="6E837AF5"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3337A" w14:paraId="0F78A1CE" w14:textId="77777777" w:rsidTr="00C459BE">
        <w:trPr>
          <w:trHeight w:val="105"/>
        </w:trPr>
        <w:tc>
          <w:tcPr>
            <w:tcW w:w="675" w:type="dxa"/>
            <w:tcBorders>
              <w:top w:val="single" w:sz="6" w:space="0" w:color="auto"/>
              <w:left w:val="single" w:sz="6" w:space="0" w:color="auto"/>
              <w:bottom w:val="single" w:sz="6" w:space="0" w:color="auto"/>
              <w:right w:val="single" w:sz="6" w:space="0" w:color="auto"/>
            </w:tcBorders>
          </w:tcPr>
          <w:p w14:paraId="368D2B2E" w14:textId="77777777" w:rsidR="0073337A" w:rsidRDefault="0073337A"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60BE4619"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7E94045F"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3337A" w14:paraId="444ECAAC" w14:textId="77777777" w:rsidTr="00C459BE">
        <w:trPr>
          <w:trHeight w:val="195"/>
        </w:trPr>
        <w:tc>
          <w:tcPr>
            <w:tcW w:w="675" w:type="dxa"/>
            <w:tcBorders>
              <w:top w:val="single" w:sz="6" w:space="0" w:color="auto"/>
              <w:left w:val="single" w:sz="6" w:space="0" w:color="auto"/>
              <w:bottom w:val="single" w:sz="6" w:space="0" w:color="auto"/>
              <w:right w:val="single" w:sz="6" w:space="0" w:color="auto"/>
            </w:tcBorders>
          </w:tcPr>
          <w:p w14:paraId="21E427E4" w14:textId="77777777" w:rsidR="0073337A" w:rsidRDefault="0073337A"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48DB1751"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181A4ED4"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73337A" w14:paraId="2674ADC0" w14:textId="77777777" w:rsidTr="00C459BE">
        <w:trPr>
          <w:trHeight w:val="195"/>
        </w:trPr>
        <w:tc>
          <w:tcPr>
            <w:tcW w:w="675" w:type="dxa"/>
            <w:tcBorders>
              <w:top w:val="single" w:sz="6" w:space="0" w:color="auto"/>
              <w:left w:val="single" w:sz="6" w:space="0" w:color="auto"/>
              <w:bottom w:val="single" w:sz="6" w:space="0" w:color="auto"/>
              <w:right w:val="single" w:sz="6" w:space="0" w:color="auto"/>
            </w:tcBorders>
          </w:tcPr>
          <w:p w14:paraId="1DC1F00B"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0</w:t>
            </w:r>
          </w:p>
        </w:tc>
        <w:tc>
          <w:tcPr>
            <w:tcW w:w="6510" w:type="dxa"/>
            <w:tcBorders>
              <w:top w:val="single" w:sz="6" w:space="0" w:color="auto"/>
              <w:left w:val="single" w:sz="6" w:space="0" w:color="auto"/>
              <w:bottom w:val="single" w:sz="6" w:space="0" w:color="auto"/>
              <w:right w:val="single" w:sz="6" w:space="0" w:color="auto"/>
            </w:tcBorders>
          </w:tcPr>
          <w:p w14:paraId="34229B61"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2EAFB9B9"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73337A" w14:paraId="132129FB" w14:textId="77777777" w:rsidTr="00C459BE">
        <w:trPr>
          <w:trHeight w:val="285"/>
        </w:trPr>
        <w:tc>
          <w:tcPr>
            <w:tcW w:w="675" w:type="dxa"/>
            <w:tcBorders>
              <w:top w:val="single" w:sz="6" w:space="0" w:color="auto"/>
              <w:left w:val="single" w:sz="6" w:space="0" w:color="auto"/>
              <w:bottom w:val="single" w:sz="6" w:space="0" w:color="auto"/>
              <w:right w:val="single" w:sz="6" w:space="0" w:color="auto"/>
            </w:tcBorders>
          </w:tcPr>
          <w:p w14:paraId="653A536C"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099F4AAD"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3F008CAA"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73337A" w14:paraId="3F1960AD" w14:textId="77777777" w:rsidTr="00C459BE">
        <w:trPr>
          <w:trHeight w:val="195"/>
        </w:trPr>
        <w:tc>
          <w:tcPr>
            <w:tcW w:w="675" w:type="dxa"/>
            <w:tcBorders>
              <w:top w:val="single" w:sz="6" w:space="0" w:color="auto"/>
              <w:left w:val="single" w:sz="6" w:space="0" w:color="auto"/>
              <w:bottom w:val="single" w:sz="6" w:space="0" w:color="auto"/>
              <w:right w:val="single" w:sz="6" w:space="0" w:color="auto"/>
            </w:tcBorders>
          </w:tcPr>
          <w:p w14:paraId="7A543BF3"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0C8CDB35" w14:textId="77777777" w:rsidR="0073337A" w:rsidRDefault="0073337A" w:rsidP="00C459BE">
            <w:pPr>
              <w:pStyle w:val="Default"/>
              <w:jc w:val="both"/>
              <w:rPr>
                <w:rFonts w:eastAsia="Times New Roman"/>
                <w:color w:val="000000" w:themeColor="text1"/>
                <w:sz w:val="20"/>
                <w:szCs w:val="20"/>
              </w:rPr>
            </w:pPr>
            <w:r w:rsidRPr="06B7B790">
              <w:rPr>
                <w:rFonts w:eastAsia="Times New Roman"/>
                <w:color w:val="000000" w:themeColor="text1"/>
                <w:sz w:val="20"/>
                <w:szCs w:val="20"/>
              </w:rPr>
              <w:t>Deixar de assumir todas as responsabilidades e tomar as medidas necessárias para o atendimento dos prestadores de serviço acidentados ou com mal súbito.</w:t>
            </w:r>
          </w:p>
        </w:tc>
        <w:tc>
          <w:tcPr>
            <w:tcW w:w="705" w:type="dxa"/>
            <w:tcBorders>
              <w:top w:val="single" w:sz="6" w:space="0" w:color="auto"/>
              <w:left w:val="single" w:sz="6" w:space="0" w:color="auto"/>
              <w:bottom w:val="single" w:sz="6" w:space="0" w:color="auto"/>
              <w:right w:val="single" w:sz="6" w:space="0" w:color="auto"/>
            </w:tcBorders>
          </w:tcPr>
          <w:p w14:paraId="12C23289"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3337A" w14:paraId="76D8FE9F" w14:textId="77777777" w:rsidTr="00C459BE">
        <w:trPr>
          <w:trHeight w:val="375"/>
        </w:trPr>
        <w:tc>
          <w:tcPr>
            <w:tcW w:w="675" w:type="dxa"/>
            <w:tcBorders>
              <w:top w:val="single" w:sz="6" w:space="0" w:color="auto"/>
              <w:left w:val="single" w:sz="6" w:space="0" w:color="auto"/>
              <w:bottom w:val="single" w:sz="6" w:space="0" w:color="auto"/>
              <w:right w:val="single" w:sz="6" w:space="0" w:color="auto"/>
            </w:tcBorders>
          </w:tcPr>
          <w:p w14:paraId="4B9E9B72"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1EBE5303"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06835177"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3337A" w14:paraId="7E7E2136" w14:textId="77777777" w:rsidTr="00C459BE">
        <w:trPr>
          <w:trHeight w:val="195"/>
        </w:trPr>
        <w:tc>
          <w:tcPr>
            <w:tcW w:w="675" w:type="dxa"/>
            <w:tcBorders>
              <w:top w:val="single" w:sz="6" w:space="0" w:color="auto"/>
              <w:left w:val="single" w:sz="6" w:space="0" w:color="auto"/>
              <w:bottom w:val="single" w:sz="6" w:space="0" w:color="auto"/>
              <w:right w:val="single" w:sz="6" w:space="0" w:color="auto"/>
            </w:tcBorders>
          </w:tcPr>
          <w:p w14:paraId="7DAD0308" w14:textId="77777777" w:rsidR="0073337A" w:rsidRDefault="0073337A"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14</w:t>
            </w:r>
          </w:p>
        </w:tc>
        <w:tc>
          <w:tcPr>
            <w:tcW w:w="6510" w:type="dxa"/>
            <w:tcBorders>
              <w:top w:val="single" w:sz="6" w:space="0" w:color="auto"/>
              <w:left w:val="single" w:sz="6" w:space="0" w:color="auto"/>
              <w:bottom w:val="single" w:sz="6" w:space="0" w:color="auto"/>
              <w:right w:val="single" w:sz="6" w:space="0" w:color="auto"/>
            </w:tcBorders>
          </w:tcPr>
          <w:p w14:paraId="715A520C" w14:textId="77777777" w:rsidR="0073337A" w:rsidRDefault="0073337A" w:rsidP="00C459BE">
            <w:pPr>
              <w:pStyle w:val="Default"/>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310A9836"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3337A" w14:paraId="3005AFA1" w14:textId="77777777" w:rsidTr="00C459BE">
        <w:trPr>
          <w:trHeight w:val="105"/>
        </w:trPr>
        <w:tc>
          <w:tcPr>
            <w:tcW w:w="675" w:type="dxa"/>
            <w:tcBorders>
              <w:top w:val="single" w:sz="6" w:space="0" w:color="auto"/>
              <w:left w:val="single" w:sz="6" w:space="0" w:color="auto"/>
              <w:bottom w:val="single" w:sz="6" w:space="0" w:color="auto"/>
              <w:right w:val="single" w:sz="6" w:space="0" w:color="auto"/>
            </w:tcBorders>
          </w:tcPr>
          <w:p w14:paraId="47CD0D67" w14:textId="77777777" w:rsidR="0073337A" w:rsidRDefault="0073337A"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15</w:t>
            </w:r>
          </w:p>
        </w:tc>
        <w:tc>
          <w:tcPr>
            <w:tcW w:w="6510" w:type="dxa"/>
            <w:tcBorders>
              <w:top w:val="single" w:sz="6" w:space="0" w:color="auto"/>
              <w:left w:val="single" w:sz="6" w:space="0" w:color="auto"/>
              <w:bottom w:val="single" w:sz="6" w:space="0" w:color="auto"/>
              <w:right w:val="single" w:sz="6" w:space="0" w:color="auto"/>
            </w:tcBorders>
          </w:tcPr>
          <w:p w14:paraId="2087FAC4" w14:textId="77777777" w:rsidR="0073337A" w:rsidRDefault="0073337A" w:rsidP="00C459BE">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1BABFC95"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3337A" w14:paraId="0B1FD140" w14:textId="77777777" w:rsidTr="00C459BE">
        <w:trPr>
          <w:trHeight w:val="195"/>
        </w:trPr>
        <w:tc>
          <w:tcPr>
            <w:tcW w:w="675" w:type="dxa"/>
            <w:tcBorders>
              <w:top w:val="single" w:sz="6" w:space="0" w:color="auto"/>
              <w:left w:val="single" w:sz="6" w:space="0" w:color="auto"/>
              <w:bottom w:val="single" w:sz="6" w:space="0" w:color="auto"/>
              <w:right w:val="single" w:sz="6" w:space="0" w:color="auto"/>
            </w:tcBorders>
          </w:tcPr>
          <w:p w14:paraId="652F829C" w14:textId="77777777" w:rsidR="0073337A" w:rsidRDefault="0073337A"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16</w:t>
            </w:r>
          </w:p>
        </w:tc>
        <w:tc>
          <w:tcPr>
            <w:tcW w:w="6510" w:type="dxa"/>
            <w:tcBorders>
              <w:top w:val="single" w:sz="6" w:space="0" w:color="auto"/>
              <w:left w:val="single" w:sz="6" w:space="0" w:color="auto"/>
              <w:bottom w:val="single" w:sz="6" w:space="0" w:color="auto"/>
              <w:right w:val="single" w:sz="6" w:space="0" w:color="auto"/>
            </w:tcBorders>
          </w:tcPr>
          <w:p w14:paraId="6AB293AE" w14:textId="77777777" w:rsidR="0073337A" w:rsidRDefault="0073337A" w:rsidP="00C459BE">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5FD86176"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3337A" w14:paraId="03B2194C" w14:textId="77777777" w:rsidTr="00C459BE">
        <w:trPr>
          <w:trHeight w:val="105"/>
        </w:trPr>
        <w:tc>
          <w:tcPr>
            <w:tcW w:w="675" w:type="dxa"/>
            <w:tcBorders>
              <w:top w:val="single" w:sz="6" w:space="0" w:color="auto"/>
              <w:left w:val="single" w:sz="6" w:space="0" w:color="auto"/>
              <w:bottom w:val="single" w:sz="6" w:space="0" w:color="auto"/>
              <w:right w:val="single" w:sz="6" w:space="0" w:color="auto"/>
            </w:tcBorders>
          </w:tcPr>
          <w:p w14:paraId="5EAB2E82" w14:textId="77777777" w:rsidR="0073337A" w:rsidRDefault="0073337A"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17</w:t>
            </w:r>
          </w:p>
        </w:tc>
        <w:tc>
          <w:tcPr>
            <w:tcW w:w="6510" w:type="dxa"/>
            <w:tcBorders>
              <w:top w:val="single" w:sz="6" w:space="0" w:color="auto"/>
              <w:left w:val="single" w:sz="6" w:space="0" w:color="auto"/>
              <w:bottom w:val="single" w:sz="6" w:space="0" w:color="auto"/>
              <w:right w:val="single" w:sz="6" w:space="0" w:color="auto"/>
            </w:tcBorders>
          </w:tcPr>
          <w:p w14:paraId="68241C26" w14:textId="77777777" w:rsidR="0073337A" w:rsidRDefault="0073337A" w:rsidP="00C459BE">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4C58BF5C" w14:textId="77777777" w:rsidR="0073337A" w:rsidRDefault="0073337A" w:rsidP="00C459B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bl>
    <w:p w14:paraId="62812929" w14:textId="77777777" w:rsidR="0073337A" w:rsidRDefault="0073337A" w:rsidP="0073337A">
      <w:pPr>
        <w:pStyle w:val="Default"/>
        <w:spacing w:line="360" w:lineRule="auto"/>
        <w:jc w:val="center"/>
        <w:rPr>
          <w:rFonts w:eastAsia="Times New Roman"/>
          <w:b/>
          <w:bCs/>
          <w:color w:val="auto"/>
          <w:sz w:val="20"/>
          <w:szCs w:val="20"/>
        </w:rPr>
      </w:pPr>
    </w:p>
    <w:p w14:paraId="1014FEB6" w14:textId="77777777" w:rsidR="0073337A" w:rsidRPr="00C275FA" w:rsidRDefault="0073337A" w:rsidP="00B2057A">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107C466A" w14:textId="77777777" w:rsidR="0073337A" w:rsidRPr="00C275FA" w:rsidRDefault="0073337A" w:rsidP="00B2057A">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0AA61020" w14:textId="77777777" w:rsidR="0073337A" w:rsidRPr="00C275FA" w:rsidRDefault="0073337A" w:rsidP="0073337A">
      <w:pPr>
        <w:pStyle w:val="Default"/>
        <w:spacing w:line="360" w:lineRule="auto"/>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73337A" w14:paraId="6CC03D5B" w14:textId="77777777" w:rsidTr="00C459BE">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1FC55745"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br/>
            </w:r>
          </w:p>
          <w:p w14:paraId="70B1BC05"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6D86F05E"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73337A" w14:paraId="0409B9FE" w14:textId="77777777" w:rsidTr="00C459BE">
        <w:trPr>
          <w:trHeight w:val="300"/>
        </w:trPr>
        <w:tc>
          <w:tcPr>
            <w:tcW w:w="1327" w:type="dxa"/>
            <w:vMerge/>
            <w:vAlign w:val="center"/>
          </w:tcPr>
          <w:p w14:paraId="25FECBF7" w14:textId="77777777" w:rsidR="0073337A" w:rsidRDefault="0073337A" w:rsidP="00C459BE">
            <w:pPr>
              <w:rPr>
                <w:rFonts w:hint="eastAsia"/>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3AE3789B"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43969CCA"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73337A" w14:paraId="4435A85D" w14:textId="77777777" w:rsidTr="00C459B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0430F921"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65D20EC6"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468DAD14"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73337A" w14:paraId="660635EB" w14:textId="77777777" w:rsidTr="00C459B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5988D84B"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71DE8D49"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01DF13C6"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73337A" w14:paraId="3EFF88DC" w14:textId="77777777" w:rsidTr="00C459BE">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174F71E9"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5DD1B396"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50E36752"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73337A" w14:paraId="1F99BFBB" w14:textId="77777777" w:rsidTr="00C459B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6C32321E"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5CB98CB4"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5557AD21"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73337A" w14:paraId="6E23313E" w14:textId="77777777" w:rsidTr="00C459B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685D1C42"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lastRenderedPageBreak/>
              <w:t>5</w:t>
            </w:r>
          </w:p>
        </w:tc>
        <w:tc>
          <w:tcPr>
            <w:tcW w:w="3862" w:type="dxa"/>
            <w:tcBorders>
              <w:top w:val="outset" w:sz="18" w:space="0" w:color="auto"/>
              <w:left w:val="outset" w:sz="18" w:space="0" w:color="auto"/>
              <w:bottom w:val="outset" w:sz="18" w:space="0" w:color="auto"/>
              <w:right w:val="outset" w:sz="18" w:space="0" w:color="auto"/>
            </w:tcBorders>
            <w:vAlign w:val="center"/>
          </w:tcPr>
          <w:p w14:paraId="5711FA13"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67B38C88"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73337A" w14:paraId="02FEF911" w14:textId="77777777" w:rsidTr="00C459B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572510AE"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43FDD879"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7C667E0F" w14:textId="77777777" w:rsidR="0073337A" w:rsidRDefault="0073337A" w:rsidP="00C459B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0AA5BF25" w14:textId="77777777" w:rsidR="0073337A" w:rsidRPr="00C275FA" w:rsidRDefault="0073337A" w:rsidP="0073337A">
      <w:pPr>
        <w:pStyle w:val="Default"/>
        <w:spacing w:line="360" w:lineRule="auto"/>
        <w:ind w:firstLine="709"/>
        <w:jc w:val="both"/>
        <w:rPr>
          <w:rFonts w:eastAsia="Times New Roman"/>
          <w:color w:val="auto"/>
        </w:rPr>
      </w:pPr>
    </w:p>
    <w:p w14:paraId="13A2AA3D" w14:textId="77777777" w:rsidR="0073337A" w:rsidRDefault="0073337A" w:rsidP="0073337A">
      <w:pPr>
        <w:pStyle w:val="Default"/>
        <w:spacing w:line="360" w:lineRule="auto"/>
        <w:ind w:left="360"/>
        <w:jc w:val="both"/>
        <w:rPr>
          <w:rFonts w:eastAsia="Times New Roman"/>
          <w:color w:val="auto"/>
          <w:highlight w:val="yellow"/>
        </w:rPr>
      </w:pPr>
    </w:p>
    <w:p w14:paraId="6269AEAE" w14:textId="77777777" w:rsidR="0073337A" w:rsidRPr="00663E0F" w:rsidRDefault="0073337A" w:rsidP="00B2057A">
      <w:pPr>
        <w:pStyle w:val="Default"/>
        <w:numPr>
          <w:ilvl w:val="0"/>
          <w:numId w:val="23"/>
        </w:numPr>
        <w:shd w:val="clear" w:color="auto" w:fill="D9D9D9" w:themeFill="background1" w:themeFillShade="D9"/>
        <w:ind w:left="0" w:firstLine="0"/>
        <w:jc w:val="both"/>
        <w:rPr>
          <w:rFonts w:eastAsia="Times New Roman"/>
          <w:color w:val="auto"/>
          <w:sz w:val="20"/>
          <w:szCs w:val="20"/>
        </w:rPr>
      </w:pPr>
      <w:r w:rsidRPr="00663E0F">
        <w:rPr>
          <w:rFonts w:eastAsia="Times New Roman"/>
          <w:b/>
          <w:bCs/>
          <w:color w:val="auto"/>
        </w:rPr>
        <w:t xml:space="preserve">CRITÉRIOS DE QUALIFICAÇÃO TÉCNICA </w:t>
      </w:r>
    </w:p>
    <w:p w14:paraId="0B5F3393" w14:textId="77777777" w:rsidR="0073337A" w:rsidRDefault="0073337A" w:rsidP="00B2057A">
      <w:pPr>
        <w:pStyle w:val="Default"/>
        <w:numPr>
          <w:ilvl w:val="1"/>
          <w:numId w:val="23"/>
        </w:numPr>
        <w:spacing w:line="360" w:lineRule="auto"/>
        <w:ind w:left="0" w:firstLine="0"/>
        <w:jc w:val="both"/>
        <w:rPr>
          <w:rFonts w:eastAsia="Times New Roman"/>
          <w:color w:val="auto"/>
        </w:rPr>
      </w:pPr>
      <w:r w:rsidRPr="00866447">
        <w:rPr>
          <w:rFonts w:eastAsia="Times New Roman"/>
          <w:color w:val="auto"/>
        </w:rPr>
        <w:t>Para fins de habilitação, a licitante deverá apresentar os seguintes atestados ou declarações</w:t>
      </w:r>
      <w:r>
        <w:rPr>
          <w:rFonts w:eastAsia="Times New Roman"/>
          <w:color w:val="auto"/>
        </w:rPr>
        <w:t>:</w:t>
      </w:r>
    </w:p>
    <w:p w14:paraId="5E4A4ED7" w14:textId="77777777" w:rsidR="0073337A" w:rsidRDefault="0073337A" w:rsidP="00B2057A">
      <w:pPr>
        <w:pStyle w:val="Default"/>
        <w:numPr>
          <w:ilvl w:val="1"/>
          <w:numId w:val="23"/>
        </w:numPr>
        <w:spacing w:line="360" w:lineRule="auto"/>
        <w:ind w:left="0" w:firstLine="0"/>
        <w:jc w:val="both"/>
        <w:rPr>
          <w:rFonts w:eastAsia="Times New Roman"/>
          <w:color w:val="auto"/>
        </w:rPr>
      </w:pPr>
      <w:r w:rsidRPr="00866447">
        <w:rPr>
          <w:rFonts w:eastAsia="Times New Roman"/>
          <w:color w:val="auto"/>
        </w:rPr>
        <w:t>Certidão de Registro ou Inscrição no Conselho Regional de Engenharia, Arquitetura e Agronomia – CREA</w:t>
      </w:r>
      <w:r>
        <w:rPr>
          <w:rFonts w:eastAsia="Times New Roman"/>
          <w:color w:val="auto"/>
        </w:rPr>
        <w:t xml:space="preserve"> ou </w:t>
      </w:r>
      <w:r w:rsidRPr="00866447">
        <w:rPr>
          <w:rFonts w:eastAsia="Times New Roman"/>
          <w:color w:val="auto"/>
        </w:rPr>
        <w:t>Conselho de Arquitetura e Urbanismo (CAU), em nome da licitante ou em nome de um profissional devidamente contratado pela licitante, com validade na data de abertura do certame, comprovando habilitação para o desempenho dos serviços do objeto do presente documento, emitida pelo CREA</w:t>
      </w:r>
      <w:r>
        <w:rPr>
          <w:rFonts w:eastAsia="Times New Roman"/>
          <w:color w:val="auto"/>
        </w:rPr>
        <w:t xml:space="preserve"> ou CAU</w:t>
      </w:r>
      <w:r w:rsidRPr="00866447">
        <w:rPr>
          <w:rFonts w:eastAsia="Times New Roman"/>
          <w:color w:val="auto"/>
        </w:rPr>
        <w:t xml:space="preserve"> da jurisdição da sede da licitante ou da base de uma de suas filiais</w:t>
      </w:r>
      <w:r>
        <w:rPr>
          <w:rFonts w:eastAsia="Times New Roman"/>
          <w:color w:val="auto"/>
        </w:rPr>
        <w:t>.</w:t>
      </w:r>
    </w:p>
    <w:p w14:paraId="63BF7009" w14:textId="77777777" w:rsidR="0073337A" w:rsidRPr="00C275FA" w:rsidRDefault="0073337A" w:rsidP="00B2057A">
      <w:pPr>
        <w:pStyle w:val="Default"/>
        <w:numPr>
          <w:ilvl w:val="2"/>
          <w:numId w:val="23"/>
        </w:numPr>
        <w:spacing w:line="360" w:lineRule="auto"/>
        <w:ind w:left="2160"/>
        <w:jc w:val="both"/>
        <w:rPr>
          <w:rFonts w:eastAsia="Times New Roman"/>
          <w:color w:val="auto"/>
        </w:rPr>
      </w:pPr>
      <w:r w:rsidRPr="00866447">
        <w:rPr>
          <w:rFonts w:eastAsia="Times New Roman"/>
          <w:color w:val="auto"/>
        </w:rPr>
        <w:t>No caso de a licitante ter a sua sede fora da jurisdição do Distrito Federal, deverá providenciar registro ou visto no CREA-DF</w:t>
      </w:r>
      <w:r>
        <w:rPr>
          <w:rFonts w:eastAsia="Times New Roman"/>
          <w:color w:val="auto"/>
        </w:rPr>
        <w:t xml:space="preserve"> ou CAU-DF</w:t>
      </w:r>
      <w:r w:rsidRPr="00866447">
        <w:rPr>
          <w:rFonts w:eastAsia="Times New Roman"/>
          <w:color w:val="auto"/>
        </w:rPr>
        <w:t>, na hipótese de sagrar-se vencedora da licitação</w:t>
      </w:r>
      <w:r>
        <w:rPr>
          <w:rFonts w:eastAsia="Times New Roman"/>
          <w:color w:val="auto"/>
        </w:rPr>
        <w:t>.</w:t>
      </w:r>
    </w:p>
    <w:p w14:paraId="4239F29E" w14:textId="77777777" w:rsidR="0073337A" w:rsidRDefault="0073337A" w:rsidP="00B2057A">
      <w:pPr>
        <w:pStyle w:val="Default"/>
        <w:numPr>
          <w:ilvl w:val="1"/>
          <w:numId w:val="23"/>
        </w:numPr>
        <w:spacing w:line="360" w:lineRule="auto"/>
        <w:ind w:left="0" w:firstLine="0"/>
        <w:jc w:val="both"/>
        <w:rPr>
          <w:rFonts w:eastAsia="Times New Roman"/>
          <w:color w:val="auto"/>
        </w:rPr>
      </w:pPr>
      <w:r w:rsidRPr="00A77057">
        <w:rPr>
          <w:rFonts w:eastAsia="Times New Roman"/>
          <w:color w:val="auto"/>
        </w:rPr>
        <w:t>Comprovação da capacidade técnica, mediante apresentação de ACT(s) – (Atestado de Capacidade Técnica) expedida(s) em nome da licitante ou em nome de um profissional devidamente contratado pela licitante por pessoa jurídica de direito público ou privado que contemple(m)</w:t>
      </w:r>
      <w:r>
        <w:rPr>
          <w:rFonts w:eastAsia="Times New Roman"/>
          <w:color w:val="auto"/>
        </w:rPr>
        <w:t>:</w:t>
      </w:r>
    </w:p>
    <w:p w14:paraId="441D8013" w14:textId="77777777" w:rsidR="0073337A" w:rsidRDefault="0073337A" w:rsidP="00B2057A">
      <w:pPr>
        <w:pStyle w:val="Default"/>
        <w:numPr>
          <w:ilvl w:val="2"/>
          <w:numId w:val="23"/>
        </w:numPr>
        <w:spacing w:line="360" w:lineRule="auto"/>
        <w:ind w:left="2160"/>
        <w:jc w:val="both"/>
        <w:rPr>
          <w:rFonts w:eastAsia="Times New Roman"/>
          <w:color w:val="auto"/>
        </w:rPr>
      </w:pPr>
      <w:r w:rsidRPr="00D4566C">
        <w:rPr>
          <w:rFonts w:eastAsia="Times New Roman"/>
          <w:color w:val="auto"/>
        </w:rPr>
        <w:t>Execução de serviços de consultoria, estudos, análises técnicas e/ou elaboração de projetos, equivalentes aos ora licitados, em auditórios, teatros, cinemas, salas de espetáculos, salões de eventos, salas de reuniões, bibliotecas, estúdios de gravações, ou similares, com área total dos ambientes contemplados, considerando um único atestado, igual ou superior a 500 m2</w:t>
      </w:r>
      <w:r>
        <w:rPr>
          <w:rFonts w:eastAsia="Times New Roman"/>
          <w:color w:val="auto"/>
        </w:rPr>
        <w:t>.</w:t>
      </w:r>
    </w:p>
    <w:p w14:paraId="3AC7293A" w14:textId="77777777" w:rsidR="0073337A" w:rsidRDefault="0073337A" w:rsidP="00B2057A">
      <w:pPr>
        <w:pStyle w:val="Default"/>
        <w:numPr>
          <w:ilvl w:val="1"/>
          <w:numId w:val="23"/>
        </w:numPr>
        <w:spacing w:line="360" w:lineRule="auto"/>
        <w:ind w:left="0" w:firstLine="0"/>
        <w:jc w:val="both"/>
        <w:rPr>
          <w:rFonts w:eastAsia="Times New Roman"/>
          <w:color w:val="auto"/>
        </w:rPr>
      </w:pPr>
      <w:r>
        <w:rPr>
          <w:rFonts w:eastAsia="Times New Roman"/>
          <w:color w:val="auto"/>
        </w:rPr>
        <w:t xml:space="preserve">Na impossibilidade de apresentação da comprovação da capacidade técnica, conforme previsto no item 20.3, será igualmente aceito a apresentação de </w:t>
      </w:r>
      <w:r w:rsidRPr="00866447">
        <w:rPr>
          <w:rFonts w:eastAsia="Times New Roman"/>
          <w:color w:val="auto"/>
        </w:rPr>
        <w:t>Certidão de Acervo Técnico emitida pelo Conselho Regional de Engenharia e Agronomia (CREA) ou Conselho de Arquitetura e Urbanismo (CAU)</w:t>
      </w:r>
      <w:r>
        <w:rPr>
          <w:rFonts w:eastAsia="Times New Roman"/>
          <w:color w:val="auto"/>
        </w:rPr>
        <w:t xml:space="preserve">, </w:t>
      </w:r>
      <w:r w:rsidRPr="00A77057">
        <w:rPr>
          <w:rFonts w:eastAsia="Times New Roman"/>
          <w:color w:val="auto"/>
        </w:rPr>
        <w:t>em nome da licitante ou em nome de um profissional devidamente contratado pela licitante</w:t>
      </w:r>
      <w:r>
        <w:rPr>
          <w:rFonts w:eastAsia="Times New Roman"/>
          <w:color w:val="auto"/>
        </w:rPr>
        <w:t xml:space="preserve">, </w:t>
      </w:r>
      <w:r w:rsidRPr="00866447">
        <w:rPr>
          <w:rFonts w:eastAsia="Times New Roman"/>
          <w:color w:val="auto"/>
        </w:rPr>
        <w:t xml:space="preserve">que </w:t>
      </w:r>
      <w:r w:rsidRPr="00A77057">
        <w:rPr>
          <w:rFonts w:eastAsia="Times New Roman"/>
          <w:color w:val="auto"/>
        </w:rPr>
        <w:t>contemple(m)</w:t>
      </w:r>
      <w:r>
        <w:rPr>
          <w:rFonts w:eastAsia="Times New Roman"/>
          <w:color w:val="auto"/>
        </w:rPr>
        <w:t>:</w:t>
      </w:r>
    </w:p>
    <w:p w14:paraId="05856520" w14:textId="77777777" w:rsidR="0073337A" w:rsidRPr="00A77057" w:rsidRDefault="0073337A" w:rsidP="00B2057A">
      <w:pPr>
        <w:pStyle w:val="Default"/>
        <w:numPr>
          <w:ilvl w:val="2"/>
          <w:numId w:val="23"/>
        </w:numPr>
        <w:spacing w:line="360" w:lineRule="auto"/>
        <w:ind w:left="2160"/>
        <w:jc w:val="both"/>
        <w:rPr>
          <w:rFonts w:eastAsia="Times New Roman"/>
          <w:color w:val="auto"/>
        </w:rPr>
      </w:pPr>
      <w:r w:rsidRPr="00D4566C">
        <w:rPr>
          <w:rFonts w:eastAsia="Times New Roman"/>
          <w:color w:val="auto"/>
        </w:rPr>
        <w:t xml:space="preserve">Execução de serviços de consultoria, estudos, análises técnicas e/ou elaboração de projetos, equivalentes aos ora licitados, em auditórios, teatros, cinemas, salas de espetáculos, salões de eventos, salas de reuniões, bibliotecas, </w:t>
      </w:r>
      <w:r w:rsidRPr="00D4566C">
        <w:rPr>
          <w:rFonts w:eastAsia="Times New Roman"/>
          <w:color w:val="auto"/>
        </w:rPr>
        <w:lastRenderedPageBreak/>
        <w:t>estúdios de gravações, ou similares, com área total dos ambientes contemplados, considerando um único atestado, igual ou superior a 500 m2</w:t>
      </w:r>
      <w:r>
        <w:rPr>
          <w:rFonts w:eastAsia="Times New Roman"/>
          <w:color w:val="auto"/>
        </w:rPr>
        <w:t>.</w:t>
      </w:r>
    </w:p>
    <w:p w14:paraId="698521F0"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45B7C405">
        <w:rPr>
          <w:rFonts w:eastAsia="Times New Roman"/>
          <w:color w:val="auto"/>
        </w:rPr>
        <w:t>O(s) atestado(s) deverá(</w:t>
      </w:r>
      <w:proofErr w:type="spellStart"/>
      <w:r w:rsidRPr="45B7C405">
        <w:rPr>
          <w:rFonts w:eastAsia="Times New Roman"/>
          <w:color w:val="auto"/>
        </w:rPr>
        <w:t>ão</w:t>
      </w:r>
      <w:proofErr w:type="spellEnd"/>
      <w:r w:rsidRPr="45B7C405">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3373DF90" w14:textId="77777777" w:rsidR="0073337A" w:rsidRPr="00C275FA" w:rsidRDefault="0073337A" w:rsidP="00B2057A">
      <w:pPr>
        <w:pStyle w:val="Default"/>
        <w:numPr>
          <w:ilvl w:val="1"/>
          <w:numId w:val="23"/>
        </w:numPr>
        <w:spacing w:line="360" w:lineRule="auto"/>
        <w:ind w:left="0" w:firstLine="0"/>
        <w:jc w:val="both"/>
        <w:rPr>
          <w:rFonts w:eastAsia="Times New Roman"/>
          <w:color w:val="auto"/>
        </w:rPr>
      </w:pPr>
      <w:r w:rsidRPr="45B7C405">
        <w:rPr>
          <w:rFonts w:eastAsia="Times New Roman"/>
          <w:color w:val="auto"/>
        </w:rPr>
        <w:t>O(s) atestado(s) apresentado(s) poderá(</w:t>
      </w:r>
      <w:proofErr w:type="spellStart"/>
      <w:r w:rsidRPr="45B7C405">
        <w:rPr>
          <w:rFonts w:eastAsia="Times New Roman"/>
          <w:color w:val="auto"/>
        </w:rPr>
        <w:t>ão</w:t>
      </w:r>
      <w:proofErr w:type="spellEnd"/>
      <w:r w:rsidRPr="45B7C405">
        <w:rPr>
          <w:rFonts w:eastAsia="Times New Roman"/>
          <w:color w:val="auto"/>
        </w:rPr>
        <w:t>) ser objeto de diligência, a critério do CNMP, para a verificação da autenticidade do conteúdo das informações nele(s) contidas.</w:t>
      </w:r>
    </w:p>
    <w:p w14:paraId="7F5455F3" w14:textId="77777777" w:rsidR="0073337A" w:rsidRPr="0035159B" w:rsidRDefault="0073337A" w:rsidP="00B2057A">
      <w:pPr>
        <w:pStyle w:val="Default"/>
        <w:numPr>
          <w:ilvl w:val="1"/>
          <w:numId w:val="23"/>
        </w:numPr>
        <w:spacing w:line="360" w:lineRule="auto"/>
        <w:ind w:left="0" w:firstLine="0"/>
        <w:jc w:val="both"/>
        <w:rPr>
          <w:rFonts w:eastAsia="Times New Roman"/>
          <w:color w:val="auto"/>
        </w:rPr>
      </w:pPr>
      <w:r w:rsidRPr="45B7C405">
        <w:rPr>
          <w:rFonts w:eastAsia="Times New Roman"/>
          <w:color w:val="auto"/>
        </w:rPr>
        <w:t>Havendo divergência entre o especificado no atestado de capacidade e o apurado em eventual diligência, além da desclassificação fica a licitante sujeita às penalidades cabíveis.</w:t>
      </w:r>
    </w:p>
    <w:p w14:paraId="617245C9" w14:textId="77777777" w:rsidR="0073337A" w:rsidRDefault="0073337A" w:rsidP="0073337A">
      <w:pPr>
        <w:pStyle w:val="Default"/>
        <w:spacing w:line="360" w:lineRule="auto"/>
        <w:jc w:val="both"/>
        <w:rPr>
          <w:rFonts w:eastAsia="Times New Roman"/>
          <w:color w:val="auto"/>
        </w:rPr>
      </w:pPr>
    </w:p>
    <w:p w14:paraId="77EC0942" w14:textId="77777777" w:rsidR="0073337A" w:rsidRPr="00A65CC1" w:rsidRDefault="0073337A" w:rsidP="00B2057A">
      <w:pPr>
        <w:pStyle w:val="Default"/>
        <w:numPr>
          <w:ilvl w:val="0"/>
          <w:numId w:val="23"/>
        </w:numPr>
        <w:shd w:val="clear" w:color="auto" w:fill="D9D9D9" w:themeFill="background1" w:themeFillShade="D9"/>
        <w:ind w:left="0" w:firstLine="0"/>
        <w:jc w:val="both"/>
        <w:rPr>
          <w:rFonts w:eastAsia="Times New Roman"/>
          <w:b/>
          <w:bCs/>
          <w:color w:val="auto"/>
          <w:lang w:val="pt-PT"/>
        </w:rPr>
      </w:pPr>
      <w:r w:rsidRPr="195F2EF2">
        <w:rPr>
          <w:rFonts w:eastAsia="Times New Roman"/>
          <w:b/>
          <w:bCs/>
          <w:color w:val="auto"/>
        </w:rPr>
        <w:t xml:space="preserve">DA LEI GERAL DE PROTEÇÃO DE DADOS - LEI Nº 13.709/2018 </w:t>
      </w:r>
    </w:p>
    <w:p w14:paraId="352C0FA1" w14:textId="77777777" w:rsidR="0073337A" w:rsidRPr="00C275FA" w:rsidRDefault="0073337A" w:rsidP="00B2057A">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766067A1" w14:textId="77777777" w:rsidR="0073337A" w:rsidRPr="00C275FA" w:rsidRDefault="0073337A" w:rsidP="00B2057A">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w:t>
      </w:r>
      <w:r w:rsidRPr="195F2EF2">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6B748B04" w14:textId="77777777" w:rsidR="0073337A" w:rsidRPr="00C275FA" w:rsidRDefault="0073337A" w:rsidP="00B2057A">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105F849" w14:textId="77777777" w:rsidR="0073337A" w:rsidRPr="00C275FA" w:rsidRDefault="0073337A" w:rsidP="00B2057A">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0D12EEA6" w14:textId="77777777" w:rsidR="0073337A" w:rsidRPr="008840B3" w:rsidRDefault="0073337A" w:rsidP="00B2057A">
      <w:pPr>
        <w:pStyle w:val="Standard"/>
        <w:widowControl w:val="0"/>
        <w:numPr>
          <w:ilvl w:val="1"/>
          <w:numId w:val="23"/>
        </w:numPr>
        <w:tabs>
          <w:tab w:val="left" w:pos="851"/>
        </w:tabs>
        <w:autoSpaceDN/>
        <w:spacing w:line="360" w:lineRule="auto"/>
        <w:ind w:left="0" w:firstLine="0"/>
        <w:jc w:val="both"/>
        <w:textAlignment w:val="baseline"/>
        <w:rPr>
          <w:lang w:val="pt-PT"/>
        </w:rPr>
      </w:pPr>
      <w:r w:rsidRPr="195F2EF2">
        <w:rPr>
          <w:rFonts w:eastAsia="Times New Roman" w:cs="Times New Roman"/>
          <w:lang w:val="pt-PT"/>
        </w:rPr>
        <w:t xml:space="preserve">Eventuais responsabilidades das partes serão apuradas conforme estabelecido </w:t>
      </w:r>
      <w:r w:rsidRPr="008840B3">
        <w:rPr>
          <w:rFonts w:eastAsia="Times New Roman" w:cs="Times New Roman"/>
          <w:lang w:val="pt-PT"/>
        </w:rPr>
        <w:t>neste contrato e também de acordo com o que dispõe a Seção III, Capítulo VI da LGPD.</w:t>
      </w:r>
    </w:p>
    <w:p w14:paraId="2A5A1FF6" w14:textId="77777777" w:rsidR="0073337A" w:rsidRDefault="0073337A" w:rsidP="0073337A">
      <w:pPr>
        <w:pStyle w:val="Default"/>
        <w:widowControl w:val="0"/>
        <w:tabs>
          <w:tab w:val="left" w:pos="851"/>
        </w:tabs>
        <w:spacing w:after="240"/>
        <w:jc w:val="both"/>
        <w:rPr>
          <w:b/>
          <w:bCs/>
          <w:lang w:val="pt-PT"/>
        </w:rPr>
      </w:pPr>
    </w:p>
    <w:p w14:paraId="5E88E90C" w14:textId="77777777" w:rsidR="0073337A" w:rsidRDefault="0073337A" w:rsidP="0073337A">
      <w:pPr>
        <w:pStyle w:val="Default"/>
        <w:widowControl w:val="0"/>
        <w:tabs>
          <w:tab w:val="left" w:pos="851"/>
        </w:tabs>
        <w:spacing w:after="240"/>
        <w:ind w:firstLine="720"/>
        <w:jc w:val="both"/>
        <w:rPr>
          <w:rFonts w:eastAsia="Calibri"/>
          <w:color w:val="000000" w:themeColor="text1"/>
          <w:lang w:val="pt-PT"/>
        </w:rPr>
      </w:pPr>
    </w:p>
    <w:p w14:paraId="4561528B" w14:textId="77777777" w:rsidR="0073337A" w:rsidRDefault="0073337A" w:rsidP="0073337A">
      <w:pPr>
        <w:pStyle w:val="Standard"/>
        <w:widowControl w:val="0"/>
        <w:tabs>
          <w:tab w:val="left" w:pos="851"/>
        </w:tabs>
        <w:spacing w:line="360" w:lineRule="auto"/>
        <w:ind w:left="349"/>
        <w:jc w:val="both"/>
        <w:rPr>
          <w:lang w:val="pt-PT"/>
        </w:rPr>
      </w:pPr>
    </w:p>
    <w:p w14:paraId="41A86887" w14:textId="77777777" w:rsidR="0073337A" w:rsidRDefault="0073337A" w:rsidP="0073337A">
      <w:pPr>
        <w:pStyle w:val="Standard"/>
        <w:widowControl w:val="0"/>
        <w:tabs>
          <w:tab w:val="left" w:pos="851"/>
        </w:tabs>
        <w:spacing w:line="360" w:lineRule="auto"/>
        <w:ind w:left="349"/>
        <w:jc w:val="both"/>
        <w:rPr>
          <w:lang w:val="pt-PT"/>
        </w:rPr>
      </w:pPr>
    </w:p>
    <w:p w14:paraId="74BEC833" w14:textId="77777777" w:rsidR="0073337A" w:rsidRDefault="0073337A" w:rsidP="0073337A">
      <w:pPr>
        <w:rPr>
          <w:rFonts w:hint="eastAsia"/>
        </w:rPr>
      </w:pPr>
      <w:r>
        <w:br w:type="page"/>
      </w:r>
    </w:p>
    <w:p w14:paraId="56133F77" w14:textId="77777777" w:rsidR="0073337A" w:rsidRPr="00EB60EC" w:rsidRDefault="0073337A" w:rsidP="0073337A">
      <w:pPr>
        <w:pStyle w:val="Standard"/>
        <w:widowControl w:val="0"/>
        <w:tabs>
          <w:tab w:val="left" w:pos="851"/>
        </w:tabs>
        <w:spacing w:line="360" w:lineRule="auto"/>
        <w:jc w:val="both"/>
        <w:rPr>
          <w:rFonts w:eastAsia="Times New Roman" w:cs="Times New Roman"/>
          <w:lang w:val="pt-PT"/>
        </w:rPr>
      </w:pPr>
    </w:p>
    <w:p w14:paraId="53EA1AB5" w14:textId="1958B40F" w:rsidR="006F1CEE" w:rsidRDefault="006F1CEE" w:rsidP="006F1CEE">
      <w:pPr>
        <w:pStyle w:val="Standard"/>
        <w:spacing w:after="113" w:line="360" w:lineRule="auto"/>
        <w:jc w:val="center"/>
      </w:pPr>
      <w:r w:rsidRPr="07A8792B">
        <w:rPr>
          <w:rFonts w:ascii="Times New Roman" w:hAnsi="Times New Roman" w:cs="Times New Roman"/>
          <w:b/>
          <w:bCs/>
          <w:u w:val="single"/>
        </w:rPr>
        <w:t>A</w:t>
      </w:r>
      <w:r w:rsidR="0073337A">
        <w:rPr>
          <w:rFonts w:ascii="Times New Roman" w:hAnsi="Times New Roman" w:cs="Times New Roman"/>
          <w:b/>
          <w:bCs/>
          <w:u w:val="single"/>
        </w:rPr>
        <w:t>VISO DE DISPENSA ELETRÔNICA Nº 10</w:t>
      </w:r>
      <w:r w:rsidRPr="07A8792B">
        <w:rPr>
          <w:rFonts w:ascii="Times New Roman" w:hAnsi="Times New Roman" w:cs="Times New Roman"/>
          <w:b/>
          <w:bCs/>
          <w:u w:val="single"/>
        </w:rPr>
        <w:t>/2023_</w:t>
      </w:r>
    </w:p>
    <w:p w14:paraId="570F831F" w14:textId="1BE679D7"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73337A" w:rsidRPr="0073337A">
        <w:rPr>
          <w:rFonts w:ascii="Times New Roman" w:hAnsi="Times New Roman" w:cs="Times New Roman" w:hint="eastAsia"/>
          <w:b/>
          <w:bCs/>
          <w:u w:val="single"/>
        </w:rPr>
        <w:t>19.00.6160.0003194/2023-47</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16610802" w:rsidR="006F1CEE" w:rsidRDefault="006F1CEE" w:rsidP="006F1CEE">
      <w:pPr>
        <w:pStyle w:val="Standard"/>
      </w:pPr>
      <w:r w:rsidRPr="07A8792B">
        <w:rPr>
          <w:rFonts w:ascii="Times New Roman" w:hAnsi="Times New Roman" w:cs="Times New Roman"/>
          <w:b/>
          <w:bCs/>
        </w:rPr>
        <w:t xml:space="preserve">AO CONSELHO NACIONAL DO MINISTÉRIO PÚBLICO - </w:t>
      </w:r>
      <w:r w:rsidR="0073337A">
        <w:rPr>
          <w:rFonts w:ascii="Times New Roman" w:eastAsia="Verdana" w:hAnsi="Times New Roman" w:cs="Times New Roman"/>
          <w:b/>
          <w:bCs/>
        </w:rPr>
        <w:t>DISPENSA ELETRÔNICA Nº 10</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594381E7" w14:textId="472D6E0F" w:rsidR="006F1CEE" w:rsidRPr="00B00FEE"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p w14:paraId="6E9DEFDF" w14:textId="77777777" w:rsidR="0018128D" w:rsidRPr="00C275FA" w:rsidRDefault="0018128D" w:rsidP="0018128D">
      <w:pPr>
        <w:pStyle w:val="Standard"/>
        <w:rPr>
          <w:rFonts w:eastAsia="Times New Roman" w:cs="Times New Roman"/>
          <w:b/>
          <w:bCs/>
        </w:rPr>
      </w:pPr>
      <w:r w:rsidRPr="679E79CE">
        <w:rPr>
          <w:rFonts w:eastAsia="Times New Roman" w:cs="Times New Roman"/>
          <w:b/>
          <w:bCs/>
        </w:rPr>
        <w:t>Dados da Empresa</w:t>
      </w:r>
    </w:p>
    <w:p w14:paraId="3C0838D2" w14:textId="77777777" w:rsidR="0018128D" w:rsidRPr="00C275FA" w:rsidRDefault="0018128D" w:rsidP="0018128D">
      <w:pPr>
        <w:pStyle w:val="Standard"/>
        <w:rPr>
          <w:rFonts w:eastAsia="Times New Roman" w:cs="Times New Roman"/>
        </w:rPr>
      </w:pPr>
      <w:r w:rsidRPr="679E79CE">
        <w:rPr>
          <w:rFonts w:eastAsia="Times New Roman" w:cs="Times New Roman"/>
        </w:rPr>
        <w:t>Razão Social:</w:t>
      </w:r>
    </w:p>
    <w:p w14:paraId="22789F0A" w14:textId="77777777" w:rsidR="0018128D" w:rsidRPr="00C275FA" w:rsidRDefault="0018128D" w:rsidP="0018128D">
      <w:pPr>
        <w:pStyle w:val="Standard"/>
        <w:rPr>
          <w:rFonts w:eastAsia="Times New Roman" w:cs="Times New Roman"/>
        </w:rPr>
      </w:pPr>
      <w:r w:rsidRPr="679E79CE">
        <w:rPr>
          <w:rFonts w:eastAsia="Times New Roman" w:cs="Times New Roman"/>
        </w:rPr>
        <w:t>CNPJ:</w:t>
      </w:r>
    </w:p>
    <w:p w14:paraId="087A18CE" w14:textId="77777777" w:rsidR="0018128D" w:rsidRPr="00C275FA" w:rsidRDefault="0018128D" w:rsidP="0018128D">
      <w:pPr>
        <w:pStyle w:val="Standard"/>
        <w:rPr>
          <w:rFonts w:eastAsia="Times New Roman" w:cs="Times New Roman"/>
        </w:rPr>
      </w:pPr>
      <w:r w:rsidRPr="679E79CE">
        <w:rPr>
          <w:rFonts w:eastAsia="Times New Roman" w:cs="Times New Roman"/>
        </w:rPr>
        <w:t>Endereço Eletrônico (</w:t>
      </w:r>
      <w:r w:rsidRPr="679E79CE">
        <w:rPr>
          <w:rFonts w:eastAsia="Times New Roman" w:cs="Times New Roman"/>
          <w:i/>
          <w:iCs/>
        </w:rPr>
        <w:t>e-mail</w:t>
      </w:r>
      <w:r w:rsidRPr="679E79CE">
        <w:rPr>
          <w:rFonts w:eastAsia="Times New Roman" w:cs="Times New Roman"/>
        </w:rPr>
        <w:t>):</w:t>
      </w:r>
    </w:p>
    <w:p w14:paraId="4F1645F7" w14:textId="77777777" w:rsidR="0018128D" w:rsidRPr="00C275FA" w:rsidRDefault="0018128D" w:rsidP="0018128D">
      <w:pPr>
        <w:pStyle w:val="Standard"/>
        <w:rPr>
          <w:rFonts w:eastAsia="Times New Roman" w:cs="Times New Roman"/>
        </w:rPr>
      </w:pPr>
      <w:proofErr w:type="spellStart"/>
      <w:r w:rsidRPr="679E79CE">
        <w:rPr>
          <w:rFonts w:eastAsia="Times New Roman" w:cs="Times New Roman"/>
        </w:rPr>
        <w:t>Tel</w:t>
      </w:r>
      <w:proofErr w:type="spellEnd"/>
      <w:r w:rsidRPr="679E79CE">
        <w:rPr>
          <w:rFonts w:eastAsia="Times New Roman" w:cs="Times New Roman"/>
        </w:rPr>
        <w:t>/Fax:</w:t>
      </w:r>
    </w:p>
    <w:p w14:paraId="2486F83D" w14:textId="77777777" w:rsidR="0018128D" w:rsidRPr="00C275FA" w:rsidRDefault="0018128D" w:rsidP="0018128D">
      <w:pPr>
        <w:pStyle w:val="Standard"/>
        <w:rPr>
          <w:rFonts w:eastAsia="Times New Roman" w:cs="Times New Roman"/>
        </w:rPr>
      </w:pPr>
      <w:r w:rsidRPr="679E79CE">
        <w:rPr>
          <w:rFonts w:eastAsia="Times New Roman" w:cs="Times New Roman"/>
        </w:rPr>
        <w:t>Endereço:</w:t>
      </w:r>
    </w:p>
    <w:p w14:paraId="68EDF807" w14:textId="77777777" w:rsidR="0018128D" w:rsidRPr="00C275FA" w:rsidRDefault="0018128D" w:rsidP="0018128D">
      <w:pPr>
        <w:pStyle w:val="Standard"/>
        <w:rPr>
          <w:rFonts w:eastAsia="Times New Roman" w:cs="Times New Roman"/>
        </w:rPr>
      </w:pPr>
      <w:r w:rsidRPr="679E79CE">
        <w:rPr>
          <w:rFonts w:eastAsia="Times New Roman" w:cs="Times New Roman"/>
        </w:rPr>
        <w:t>Nome:</w:t>
      </w:r>
    </w:p>
    <w:p w14:paraId="0C510368" w14:textId="77777777" w:rsidR="0018128D" w:rsidRPr="00C275FA" w:rsidRDefault="0018128D" w:rsidP="0018128D">
      <w:pPr>
        <w:pStyle w:val="Standard"/>
        <w:rPr>
          <w:rFonts w:eastAsia="Times New Roman" w:cs="Times New Roman"/>
        </w:rPr>
      </w:pPr>
      <w:r w:rsidRPr="679E79CE">
        <w:rPr>
          <w:rFonts w:eastAsia="Times New Roman" w:cs="Times New Roman"/>
        </w:rPr>
        <w:t>Cargo:</w:t>
      </w:r>
    </w:p>
    <w:p w14:paraId="1AFC5E9C" w14:textId="77777777" w:rsidR="0018128D" w:rsidRDefault="0018128D" w:rsidP="0018128D">
      <w:pPr>
        <w:pStyle w:val="Standard"/>
        <w:rPr>
          <w:rFonts w:eastAsia="Times New Roman" w:cs="Times New Roman"/>
        </w:rPr>
      </w:pPr>
      <w:r w:rsidRPr="679E79CE">
        <w:rPr>
          <w:rFonts w:eastAsia="Times New Roman" w:cs="Times New Roman"/>
        </w:rPr>
        <w:t xml:space="preserve">Validade da proposta: </w:t>
      </w:r>
      <w:r w:rsidRPr="005A725D">
        <w:rPr>
          <w:rFonts w:eastAsia="Times New Roman" w:cs="Times New Roman"/>
        </w:rPr>
        <w:t>(mínimo 60 dias)</w:t>
      </w:r>
    </w:p>
    <w:p w14:paraId="5EC6587E" w14:textId="77777777" w:rsidR="0018128D" w:rsidRPr="00C275FA" w:rsidRDefault="0018128D" w:rsidP="0018128D">
      <w:pPr>
        <w:pStyle w:val="Standard"/>
        <w:rPr>
          <w:rFonts w:eastAsia="Times New Roman" w:cs="Times New Roman"/>
        </w:rPr>
      </w:pPr>
    </w:p>
    <w:p w14:paraId="3C3AE32D" w14:textId="77777777" w:rsidR="0073337A" w:rsidRPr="00C275FA" w:rsidRDefault="0073337A" w:rsidP="0073337A">
      <w:pPr>
        <w:pStyle w:val="Standard"/>
        <w:rPr>
          <w:rFonts w:eastAsia="Times New Roman" w:cs="Times New Roman"/>
        </w:rPr>
      </w:pPr>
    </w:p>
    <w:tbl>
      <w:tblPr>
        <w:tblStyle w:val="Tabelacomgrade"/>
        <w:tblW w:w="8500" w:type="dxa"/>
        <w:tblLayout w:type="fixed"/>
        <w:tblLook w:val="04A0" w:firstRow="1" w:lastRow="0" w:firstColumn="1" w:lastColumn="0" w:noHBand="0" w:noVBand="1"/>
      </w:tblPr>
      <w:tblGrid>
        <w:gridCol w:w="750"/>
        <w:gridCol w:w="2506"/>
        <w:gridCol w:w="1559"/>
        <w:gridCol w:w="1417"/>
        <w:gridCol w:w="1276"/>
        <w:gridCol w:w="992"/>
      </w:tblGrid>
      <w:tr w:rsidR="0073337A" w:rsidRPr="0073337A" w14:paraId="1181C0C4" w14:textId="77777777" w:rsidTr="00C459BE">
        <w:trPr>
          <w:trHeight w:val="300"/>
        </w:trPr>
        <w:tc>
          <w:tcPr>
            <w:tcW w:w="750" w:type="dxa"/>
          </w:tcPr>
          <w:p w14:paraId="3A2A0D9D" w14:textId="77777777" w:rsidR="0073337A" w:rsidRPr="0073337A" w:rsidRDefault="0073337A" w:rsidP="00C459BE">
            <w:pPr>
              <w:pStyle w:val="Default"/>
              <w:spacing w:line="360" w:lineRule="auto"/>
              <w:rPr>
                <w:rFonts w:eastAsia="Times New Roman"/>
                <w:color w:val="000000" w:themeColor="text1"/>
              </w:rPr>
            </w:pPr>
            <w:r w:rsidRPr="0073337A">
              <w:rPr>
                <w:rFonts w:eastAsia="Times New Roman"/>
                <w:color w:val="000000" w:themeColor="text1"/>
              </w:rPr>
              <w:t>ITEM</w:t>
            </w:r>
          </w:p>
        </w:tc>
        <w:tc>
          <w:tcPr>
            <w:tcW w:w="2506" w:type="dxa"/>
          </w:tcPr>
          <w:p w14:paraId="7A5918D2" w14:textId="77777777" w:rsidR="0073337A" w:rsidRPr="0073337A" w:rsidRDefault="0073337A" w:rsidP="00C459BE">
            <w:pPr>
              <w:pStyle w:val="Default"/>
              <w:spacing w:line="360" w:lineRule="auto"/>
              <w:rPr>
                <w:rFonts w:eastAsia="Times New Roman"/>
                <w:color w:val="000000" w:themeColor="text1"/>
              </w:rPr>
            </w:pPr>
            <w:r w:rsidRPr="0073337A">
              <w:rPr>
                <w:rFonts w:eastAsia="Times New Roman"/>
                <w:color w:val="000000" w:themeColor="text1"/>
              </w:rPr>
              <w:t>DESCRIÇÃO</w:t>
            </w:r>
          </w:p>
        </w:tc>
        <w:tc>
          <w:tcPr>
            <w:tcW w:w="1559" w:type="dxa"/>
          </w:tcPr>
          <w:p w14:paraId="471A39DB" w14:textId="77777777" w:rsidR="0073337A" w:rsidRPr="0073337A" w:rsidRDefault="0073337A" w:rsidP="00C459BE">
            <w:pPr>
              <w:pStyle w:val="Default"/>
              <w:spacing w:line="360" w:lineRule="auto"/>
              <w:rPr>
                <w:rFonts w:eastAsia="Times New Roman"/>
                <w:color w:val="000000" w:themeColor="text1"/>
              </w:rPr>
            </w:pPr>
            <w:r w:rsidRPr="0073337A">
              <w:rPr>
                <w:rFonts w:eastAsia="Times New Roman"/>
                <w:color w:val="000000" w:themeColor="text1"/>
              </w:rPr>
              <w:t>QUANTIDADE</w:t>
            </w:r>
          </w:p>
        </w:tc>
        <w:tc>
          <w:tcPr>
            <w:tcW w:w="1417" w:type="dxa"/>
          </w:tcPr>
          <w:p w14:paraId="542A7347" w14:textId="77777777" w:rsidR="0073337A" w:rsidRPr="0073337A" w:rsidRDefault="0073337A" w:rsidP="00C459BE">
            <w:pPr>
              <w:pStyle w:val="Default"/>
              <w:spacing w:line="360" w:lineRule="auto"/>
              <w:rPr>
                <w:rFonts w:eastAsia="Times New Roman"/>
                <w:color w:val="000000" w:themeColor="text1"/>
              </w:rPr>
            </w:pPr>
            <w:r w:rsidRPr="0073337A">
              <w:rPr>
                <w:rFonts w:eastAsia="Times New Roman"/>
                <w:color w:val="000000" w:themeColor="text1"/>
              </w:rPr>
              <w:t>UNIDADE</w:t>
            </w:r>
          </w:p>
        </w:tc>
        <w:tc>
          <w:tcPr>
            <w:tcW w:w="1276" w:type="dxa"/>
          </w:tcPr>
          <w:p w14:paraId="7B955A22" w14:textId="77777777" w:rsidR="0073337A" w:rsidRPr="0073337A" w:rsidRDefault="0073337A" w:rsidP="00C459BE">
            <w:pPr>
              <w:pStyle w:val="Default"/>
              <w:spacing w:line="360" w:lineRule="auto"/>
              <w:rPr>
                <w:rFonts w:eastAsia="Times New Roman"/>
                <w:color w:val="000000" w:themeColor="text1"/>
              </w:rPr>
            </w:pPr>
            <w:r w:rsidRPr="0073337A">
              <w:rPr>
                <w:rFonts w:eastAsia="Times New Roman"/>
                <w:color w:val="000000" w:themeColor="text1"/>
              </w:rPr>
              <w:t>PREÇO UNITÁRIO</w:t>
            </w:r>
          </w:p>
        </w:tc>
        <w:tc>
          <w:tcPr>
            <w:tcW w:w="992" w:type="dxa"/>
          </w:tcPr>
          <w:p w14:paraId="2BAFC769" w14:textId="77777777" w:rsidR="0073337A" w:rsidRPr="0073337A" w:rsidRDefault="0073337A" w:rsidP="00C459BE">
            <w:pPr>
              <w:pStyle w:val="Default"/>
              <w:spacing w:line="360" w:lineRule="auto"/>
              <w:rPr>
                <w:rFonts w:eastAsia="Times New Roman"/>
                <w:color w:val="000000" w:themeColor="text1"/>
              </w:rPr>
            </w:pPr>
            <w:r w:rsidRPr="0073337A">
              <w:rPr>
                <w:rFonts w:eastAsia="Times New Roman"/>
                <w:color w:val="000000" w:themeColor="text1"/>
              </w:rPr>
              <w:t>PREÇO TOTAL</w:t>
            </w:r>
          </w:p>
        </w:tc>
      </w:tr>
      <w:tr w:rsidR="0073337A" w:rsidRPr="0073337A" w14:paraId="2B986C3A" w14:textId="77777777" w:rsidTr="00C459BE">
        <w:trPr>
          <w:trHeight w:val="1170"/>
        </w:trPr>
        <w:tc>
          <w:tcPr>
            <w:tcW w:w="750" w:type="dxa"/>
          </w:tcPr>
          <w:p w14:paraId="39CCECD4" w14:textId="77777777" w:rsidR="0073337A" w:rsidRPr="0073337A" w:rsidRDefault="0073337A" w:rsidP="00C459BE">
            <w:pPr>
              <w:pStyle w:val="Default"/>
              <w:spacing w:line="360" w:lineRule="auto"/>
              <w:rPr>
                <w:rFonts w:eastAsia="Times New Roman"/>
                <w:color w:val="000000" w:themeColor="text1"/>
              </w:rPr>
            </w:pPr>
            <w:r w:rsidRPr="0073337A">
              <w:rPr>
                <w:rFonts w:eastAsia="Times New Roman"/>
                <w:color w:val="000000" w:themeColor="text1"/>
              </w:rPr>
              <w:t>1</w:t>
            </w:r>
          </w:p>
        </w:tc>
        <w:tc>
          <w:tcPr>
            <w:tcW w:w="2506" w:type="dxa"/>
          </w:tcPr>
          <w:p w14:paraId="05A661C0" w14:textId="77777777" w:rsidR="0073337A" w:rsidRPr="0073337A" w:rsidRDefault="0073337A" w:rsidP="00C459BE">
            <w:pPr>
              <w:spacing w:line="360" w:lineRule="auto"/>
              <w:rPr>
                <w:rFonts w:ascii="Times New Roman" w:hAnsi="Times New Roman" w:cs="Times New Roman"/>
              </w:rPr>
            </w:pPr>
            <w:r w:rsidRPr="0073337A">
              <w:rPr>
                <w:rFonts w:ascii="Times New Roman" w:hAnsi="Times New Roman" w:cs="Times New Roman"/>
              </w:rPr>
              <w:t xml:space="preserve">Prestação de serviços em consultoria técnica para atenuação sonora e condicionamento acústico dos seguintes ambientes da futura sede própria do CNMP: </w:t>
            </w:r>
          </w:p>
          <w:p w14:paraId="5B00C955" w14:textId="77777777" w:rsidR="0073337A" w:rsidRPr="0073337A" w:rsidRDefault="0073337A" w:rsidP="00C459BE">
            <w:pPr>
              <w:spacing w:line="360" w:lineRule="auto"/>
              <w:rPr>
                <w:rFonts w:ascii="Times New Roman" w:hAnsi="Times New Roman" w:cs="Times New Roman"/>
              </w:rPr>
            </w:pPr>
            <w:r w:rsidRPr="0073337A">
              <w:rPr>
                <w:rFonts w:ascii="Times New Roman" w:hAnsi="Times New Roman" w:cs="Times New Roman"/>
              </w:rPr>
              <w:t xml:space="preserve">1. Ambientes de Plenário, Auditório e Estúdio; </w:t>
            </w:r>
          </w:p>
          <w:p w14:paraId="48389FC4" w14:textId="77777777" w:rsidR="0073337A" w:rsidRPr="0073337A" w:rsidRDefault="0073337A" w:rsidP="00C459BE">
            <w:pPr>
              <w:spacing w:line="360" w:lineRule="auto"/>
              <w:rPr>
                <w:rFonts w:ascii="Times New Roman" w:hAnsi="Times New Roman" w:cs="Times New Roman"/>
              </w:rPr>
            </w:pPr>
            <w:r w:rsidRPr="0073337A">
              <w:rPr>
                <w:rFonts w:ascii="Times New Roman" w:hAnsi="Times New Roman" w:cs="Times New Roman"/>
              </w:rPr>
              <w:t>2. Biblioteca</w:t>
            </w:r>
          </w:p>
          <w:p w14:paraId="3F55EC88" w14:textId="77777777" w:rsidR="0073337A" w:rsidRPr="0073337A" w:rsidRDefault="0073337A" w:rsidP="00C459BE">
            <w:pPr>
              <w:spacing w:line="360" w:lineRule="auto"/>
              <w:rPr>
                <w:rFonts w:ascii="Times New Roman" w:hAnsi="Times New Roman" w:cs="Times New Roman"/>
              </w:rPr>
            </w:pPr>
            <w:r w:rsidRPr="0073337A">
              <w:rPr>
                <w:rFonts w:ascii="Times New Roman" w:hAnsi="Times New Roman" w:cs="Times New Roman"/>
              </w:rPr>
              <w:t>3. Salas de atendimento da equipe da Segurança, Secretaria de Gestão de Pessoas e na Ouvidoria Nacional;</w:t>
            </w:r>
          </w:p>
          <w:p w14:paraId="5E5FFE70" w14:textId="77777777" w:rsidR="0073337A" w:rsidRPr="0073337A" w:rsidRDefault="0073337A" w:rsidP="00C459BE">
            <w:pPr>
              <w:spacing w:line="360" w:lineRule="auto"/>
              <w:rPr>
                <w:rFonts w:ascii="Times New Roman" w:hAnsi="Times New Roman" w:cs="Times New Roman"/>
              </w:rPr>
            </w:pPr>
            <w:r w:rsidRPr="0073337A">
              <w:rPr>
                <w:rFonts w:ascii="Times New Roman" w:hAnsi="Times New Roman" w:cs="Times New Roman"/>
              </w:rPr>
              <w:t xml:space="preserve">4. Salas de reuniões distribuídas no térreo e 1º Pavimento; </w:t>
            </w:r>
          </w:p>
          <w:p w14:paraId="23B0F125" w14:textId="77777777" w:rsidR="0073337A" w:rsidRPr="0073337A" w:rsidRDefault="0073337A" w:rsidP="00C459BE">
            <w:pPr>
              <w:spacing w:line="360" w:lineRule="auto"/>
              <w:rPr>
                <w:rFonts w:ascii="Times New Roman" w:eastAsia="Times New Roman" w:hAnsi="Times New Roman" w:cs="Times New Roman"/>
                <w:color w:val="000000" w:themeColor="text1"/>
              </w:rPr>
            </w:pPr>
            <w:r w:rsidRPr="0073337A">
              <w:rPr>
                <w:rFonts w:ascii="Times New Roman" w:hAnsi="Times New Roman" w:cs="Times New Roman"/>
              </w:rPr>
              <w:t>5. Gabinete de autoridades (caso mais crítico).</w:t>
            </w:r>
          </w:p>
        </w:tc>
        <w:tc>
          <w:tcPr>
            <w:tcW w:w="1559" w:type="dxa"/>
          </w:tcPr>
          <w:p w14:paraId="561FE5D7" w14:textId="77777777" w:rsidR="0073337A" w:rsidRPr="0073337A" w:rsidRDefault="0073337A" w:rsidP="00C459BE">
            <w:pPr>
              <w:spacing w:line="360" w:lineRule="auto"/>
              <w:jc w:val="center"/>
              <w:rPr>
                <w:rFonts w:ascii="Times New Roman" w:eastAsia="Times New Roman" w:hAnsi="Times New Roman" w:cs="Times New Roman"/>
                <w:color w:val="000000" w:themeColor="text1"/>
              </w:rPr>
            </w:pPr>
            <w:r w:rsidRPr="0073337A">
              <w:rPr>
                <w:rFonts w:ascii="Times New Roman" w:eastAsia="Times New Roman" w:hAnsi="Times New Roman" w:cs="Times New Roman"/>
                <w:color w:val="000000" w:themeColor="text1"/>
              </w:rPr>
              <w:t>01</w:t>
            </w:r>
          </w:p>
        </w:tc>
        <w:tc>
          <w:tcPr>
            <w:tcW w:w="1417" w:type="dxa"/>
          </w:tcPr>
          <w:p w14:paraId="20C15B4C" w14:textId="77777777" w:rsidR="0073337A" w:rsidRPr="0073337A" w:rsidRDefault="0073337A" w:rsidP="00C459BE">
            <w:pPr>
              <w:pStyle w:val="Default"/>
              <w:spacing w:line="360" w:lineRule="auto"/>
              <w:jc w:val="center"/>
              <w:rPr>
                <w:rFonts w:eastAsia="Times New Roman"/>
                <w:color w:val="000000" w:themeColor="text1"/>
              </w:rPr>
            </w:pPr>
            <w:r w:rsidRPr="0073337A">
              <w:rPr>
                <w:rFonts w:eastAsia="Times New Roman"/>
                <w:color w:val="000000" w:themeColor="text1"/>
              </w:rPr>
              <w:t>Unidade</w:t>
            </w:r>
          </w:p>
        </w:tc>
        <w:tc>
          <w:tcPr>
            <w:tcW w:w="1276" w:type="dxa"/>
          </w:tcPr>
          <w:p w14:paraId="34D8458E" w14:textId="77777777" w:rsidR="0073337A" w:rsidRPr="0073337A" w:rsidRDefault="0073337A" w:rsidP="00C459BE">
            <w:pPr>
              <w:spacing w:line="360" w:lineRule="auto"/>
              <w:rPr>
                <w:rFonts w:ascii="Times New Roman" w:eastAsia="Times New Roman" w:hAnsi="Times New Roman" w:cs="Times New Roman"/>
                <w:color w:val="000000" w:themeColor="text1"/>
              </w:rPr>
            </w:pPr>
            <w:r w:rsidRPr="0073337A">
              <w:rPr>
                <w:rFonts w:ascii="Times New Roman" w:eastAsia="Times New Roman" w:hAnsi="Times New Roman" w:cs="Times New Roman"/>
                <w:color w:val="000000" w:themeColor="text1"/>
              </w:rPr>
              <w:t xml:space="preserve">  R$ </w:t>
            </w:r>
          </w:p>
        </w:tc>
        <w:tc>
          <w:tcPr>
            <w:tcW w:w="992" w:type="dxa"/>
          </w:tcPr>
          <w:p w14:paraId="67F13558" w14:textId="77777777" w:rsidR="0073337A" w:rsidRPr="0073337A" w:rsidRDefault="0073337A" w:rsidP="00C459BE">
            <w:pPr>
              <w:spacing w:line="360" w:lineRule="auto"/>
              <w:rPr>
                <w:rFonts w:ascii="Times New Roman" w:eastAsia="Times New Roman" w:hAnsi="Times New Roman" w:cs="Times New Roman"/>
                <w:color w:val="000000" w:themeColor="text1"/>
              </w:rPr>
            </w:pPr>
            <w:r w:rsidRPr="0073337A">
              <w:rPr>
                <w:rFonts w:ascii="Times New Roman" w:eastAsia="Times New Roman" w:hAnsi="Times New Roman" w:cs="Times New Roman"/>
                <w:color w:val="000000" w:themeColor="text1"/>
              </w:rPr>
              <w:t xml:space="preserve">  R$</w:t>
            </w:r>
          </w:p>
        </w:tc>
      </w:tr>
      <w:tr w:rsidR="0073337A" w:rsidRPr="0073337A" w14:paraId="746EA1F1" w14:textId="77777777" w:rsidTr="00C459BE">
        <w:trPr>
          <w:trHeight w:val="1170"/>
        </w:trPr>
        <w:tc>
          <w:tcPr>
            <w:tcW w:w="750" w:type="dxa"/>
          </w:tcPr>
          <w:p w14:paraId="117CBF32" w14:textId="77777777" w:rsidR="0073337A" w:rsidRPr="0073337A" w:rsidRDefault="0073337A" w:rsidP="00C459BE">
            <w:pPr>
              <w:pStyle w:val="Default"/>
              <w:spacing w:line="360" w:lineRule="auto"/>
              <w:rPr>
                <w:rFonts w:eastAsia="Times New Roman"/>
                <w:color w:val="000000" w:themeColor="text1"/>
              </w:rPr>
            </w:pPr>
            <w:r w:rsidRPr="0073337A">
              <w:rPr>
                <w:rFonts w:eastAsia="Times New Roman"/>
                <w:color w:val="000000" w:themeColor="text1"/>
              </w:rPr>
              <w:t>2</w:t>
            </w:r>
          </w:p>
        </w:tc>
        <w:tc>
          <w:tcPr>
            <w:tcW w:w="2506" w:type="dxa"/>
          </w:tcPr>
          <w:p w14:paraId="79BF97A2" w14:textId="77777777" w:rsidR="0073337A" w:rsidRPr="0073337A" w:rsidRDefault="0073337A" w:rsidP="00C459BE">
            <w:pPr>
              <w:spacing w:line="360" w:lineRule="auto"/>
              <w:rPr>
                <w:rFonts w:ascii="Times New Roman" w:hAnsi="Times New Roman" w:cs="Times New Roman"/>
              </w:rPr>
            </w:pPr>
            <w:r w:rsidRPr="0073337A">
              <w:rPr>
                <w:rFonts w:ascii="Times New Roman" w:hAnsi="Times New Roman" w:cs="Times New Roman"/>
              </w:rPr>
              <w:t xml:space="preserve">Prestação de serviços em consultoria técnica para atenuação sonora </w:t>
            </w:r>
            <w:r w:rsidRPr="0073337A">
              <w:rPr>
                <w:rFonts w:ascii="Times New Roman" w:hAnsi="Times New Roman" w:cs="Times New Roman"/>
              </w:rPr>
              <w:lastRenderedPageBreak/>
              <w:t xml:space="preserve">e condicionamento acústico dos seguintes ambientes da atual sede do CNMP: </w:t>
            </w:r>
          </w:p>
          <w:p w14:paraId="46292414" w14:textId="77777777" w:rsidR="0073337A" w:rsidRPr="0073337A" w:rsidRDefault="0073337A" w:rsidP="00B2057A">
            <w:pPr>
              <w:pStyle w:val="PargrafodaLista"/>
              <w:numPr>
                <w:ilvl w:val="0"/>
                <w:numId w:val="27"/>
              </w:numPr>
              <w:spacing w:line="360" w:lineRule="auto"/>
              <w:rPr>
                <w:rFonts w:ascii="Times New Roman" w:hAnsi="Times New Roman" w:cs="Times New Roman"/>
              </w:rPr>
            </w:pPr>
            <w:r w:rsidRPr="0073337A">
              <w:rPr>
                <w:rFonts w:ascii="Times New Roman" w:hAnsi="Times New Roman" w:cs="Times New Roman"/>
              </w:rPr>
              <w:t>Plenário</w:t>
            </w:r>
          </w:p>
          <w:p w14:paraId="3359E16B" w14:textId="77777777" w:rsidR="0073337A" w:rsidRPr="0073337A" w:rsidRDefault="0073337A" w:rsidP="00B2057A">
            <w:pPr>
              <w:pStyle w:val="PargrafodaLista"/>
              <w:numPr>
                <w:ilvl w:val="0"/>
                <w:numId w:val="27"/>
              </w:numPr>
              <w:spacing w:line="360" w:lineRule="auto"/>
              <w:rPr>
                <w:rFonts w:ascii="Times New Roman" w:hAnsi="Times New Roman" w:cs="Times New Roman"/>
              </w:rPr>
            </w:pPr>
            <w:r w:rsidRPr="0073337A">
              <w:rPr>
                <w:rFonts w:ascii="Times New Roman" w:hAnsi="Times New Roman" w:cs="Times New Roman"/>
              </w:rPr>
              <w:t>Estúdio</w:t>
            </w:r>
          </w:p>
          <w:p w14:paraId="1A298AA8" w14:textId="77777777" w:rsidR="0073337A" w:rsidRPr="0073337A" w:rsidRDefault="0073337A" w:rsidP="00B2057A">
            <w:pPr>
              <w:pStyle w:val="PargrafodaLista"/>
              <w:numPr>
                <w:ilvl w:val="0"/>
                <w:numId w:val="27"/>
              </w:numPr>
              <w:spacing w:line="360" w:lineRule="auto"/>
              <w:rPr>
                <w:rFonts w:ascii="Times New Roman" w:hAnsi="Times New Roman" w:cs="Times New Roman"/>
              </w:rPr>
            </w:pPr>
            <w:r w:rsidRPr="0073337A">
              <w:rPr>
                <w:rFonts w:ascii="Times New Roman" w:hAnsi="Times New Roman" w:cs="Times New Roman"/>
              </w:rPr>
              <w:t>Biblioteca</w:t>
            </w:r>
          </w:p>
          <w:p w14:paraId="46B91F21" w14:textId="77777777" w:rsidR="0073337A" w:rsidRPr="0073337A" w:rsidRDefault="0073337A" w:rsidP="00B2057A">
            <w:pPr>
              <w:pStyle w:val="PargrafodaLista"/>
              <w:numPr>
                <w:ilvl w:val="0"/>
                <w:numId w:val="27"/>
              </w:numPr>
              <w:spacing w:line="360" w:lineRule="auto"/>
              <w:rPr>
                <w:rFonts w:ascii="Times New Roman" w:hAnsi="Times New Roman" w:cs="Times New Roman"/>
              </w:rPr>
            </w:pPr>
            <w:r w:rsidRPr="0073337A">
              <w:rPr>
                <w:rFonts w:ascii="Times New Roman" w:hAnsi="Times New Roman" w:cs="Times New Roman"/>
              </w:rPr>
              <w:t>Salas de Reunião</w:t>
            </w:r>
          </w:p>
          <w:p w14:paraId="46EC157F" w14:textId="77777777" w:rsidR="0073337A" w:rsidRPr="0073337A" w:rsidRDefault="0073337A" w:rsidP="00B2057A">
            <w:pPr>
              <w:pStyle w:val="PargrafodaLista"/>
              <w:numPr>
                <w:ilvl w:val="0"/>
                <w:numId w:val="27"/>
              </w:numPr>
              <w:spacing w:line="360" w:lineRule="auto"/>
              <w:rPr>
                <w:rFonts w:ascii="Times New Roman" w:hAnsi="Times New Roman" w:cs="Times New Roman"/>
              </w:rPr>
            </w:pPr>
            <w:r w:rsidRPr="0073337A">
              <w:rPr>
                <w:rFonts w:ascii="Times New Roman" w:hAnsi="Times New Roman" w:cs="Times New Roman"/>
              </w:rPr>
              <w:t>Gabinetes de autoridades  (caso mais crítico).</w:t>
            </w:r>
          </w:p>
        </w:tc>
        <w:tc>
          <w:tcPr>
            <w:tcW w:w="1559" w:type="dxa"/>
          </w:tcPr>
          <w:p w14:paraId="6A01812D" w14:textId="77777777" w:rsidR="0073337A" w:rsidRPr="0073337A" w:rsidRDefault="0073337A" w:rsidP="00C459BE">
            <w:pPr>
              <w:spacing w:line="360" w:lineRule="auto"/>
              <w:jc w:val="center"/>
              <w:rPr>
                <w:rFonts w:ascii="Times New Roman" w:eastAsia="Times New Roman" w:hAnsi="Times New Roman" w:cs="Times New Roman"/>
                <w:color w:val="000000" w:themeColor="text1"/>
              </w:rPr>
            </w:pPr>
            <w:r w:rsidRPr="0073337A">
              <w:rPr>
                <w:rFonts w:ascii="Times New Roman" w:eastAsia="Times New Roman" w:hAnsi="Times New Roman" w:cs="Times New Roman"/>
                <w:color w:val="000000" w:themeColor="text1"/>
              </w:rPr>
              <w:lastRenderedPageBreak/>
              <w:t>01</w:t>
            </w:r>
          </w:p>
        </w:tc>
        <w:tc>
          <w:tcPr>
            <w:tcW w:w="1417" w:type="dxa"/>
          </w:tcPr>
          <w:p w14:paraId="56C58598" w14:textId="77777777" w:rsidR="0073337A" w:rsidRPr="0073337A" w:rsidRDefault="0073337A" w:rsidP="00C459BE">
            <w:pPr>
              <w:pStyle w:val="Default"/>
              <w:spacing w:line="360" w:lineRule="auto"/>
              <w:jc w:val="center"/>
              <w:rPr>
                <w:rFonts w:eastAsia="Times New Roman"/>
                <w:color w:val="000000" w:themeColor="text1"/>
              </w:rPr>
            </w:pPr>
            <w:r w:rsidRPr="0073337A">
              <w:rPr>
                <w:rFonts w:eastAsia="Times New Roman"/>
                <w:color w:val="000000" w:themeColor="text1"/>
              </w:rPr>
              <w:t>Unidade</w:t>
            </w:r>
          </w:p>
        </w:tc>
        <w:tc>
          <w:tcPr>
            <w:tcW w:w="1276" w:type="dxa"/>
          </w:tcPr>
          <w:p w14:paraId="72A307C9" w14:textId="77777777" w:rsidR="0073337A" w:rsidRPr="0073337A" w:rsidRDefault="0073337A" w:rsidP="00C459BE">
            <w:pPr>
              <w:spacing w:line="360" w:lineRule="auto"/>
              <w:rPr>
                <w:rFonts w:ascii="Times New Roman" w:eastAsia="Times New Roman" w:hAnsi="Times New Roman" w:cs="Times New Roman"/>
                <w:color w:val="000000" w:themeColor="text1"/>
              </w:rPr>
            </w:pPr>
            <w:r w:rsidRPr="0073337A">
              <w:rPr>
                <w:rFonts w:ascii="Times New Roman" w:eastAsia="Times New Roman" w:hAnsi="Times New Roman" w:cs="Times New Roman"/>
                <w:color w:val="000000" w:themeColor="text1"/>
              </w:rPr>
              <w:t>R$</w:t>
            </w:r>
          </w:p>
        </w:tc>
        <w:tc>
          <w:tcPr>
            <w:tcW w:w="992" w:type="dxa"/>
          </w:tcPr>
          <w:p w14:paraId="736E959D" w14:textId="77777777" w:rsidR="0073337A" w:rsidRPr="0073337A" w:rsidRDefault="0073337A" w:rsidP="00C459BE">
            <w:pPr>
              <w:spacing w:line="360" w:lineRule="auto"/>
              <w:rPr>
                <w:rFonts w:ascii="Times New Roman" w:eastAsia="Times New Roman" w:hAnsi="Times New Roman" w:cs="Times New Roman"/>
                <w:color w:val="000000" w:themeColor="text1"/>
              </w:rPr>
            </w:pPr>
            <w:r w:rsidRPr="0073337A">
              <w:rPr>
                <w:rFonts w:ascii="Times New Roman" w:eastAsia="Times New Roman" w:hAnsi="Times New Roman" w:cs="Times New Roman"/>
                <w:color w:val="000000" w:themeColor="text1"/>
              </w:rPr>
              <w:t>R$</w:t>
            </w:r>
          </w:p>
        </w:tc>
      </w:tr>
    </w:tbl>
    <w:p w14:paraId="444815B2" w14:textId="77777777" w:rsidR="0018128D" w:rsidRPr="00C275FA" w:rsidRDefault="0018128D" w:rsidP="0018128D">
      <w:pPr>
        <w:pStyle w:val="Standard"/>
        <w:rPr>
          <w:rFonts w:eastAsia="Times New Roman" w:cs="Times New Roman"/>
        </w:rPr>
      </w:pPr>
    </w:p>
    <w:p w14:paraId="1C7516F2" w14:textId="77777777" w:rsidR="0018128D" w:rsidRPr="00C275FA" w:rsidRDefault="0018128D" w:rsidP="0018128D">
      <w:pPr>
        <w:pStyle w:val="Standard"/>
        <w:jc w:val="both"/>
        <w:rPr>
          <w:rFonts w:eastAsia="Times New Roman" w:cs="Times New Roman"/>
        </w:rPr>
      </w:pPr>
    </w:p>
    <w:p w14:paraId="52FE0E1E" w14:textId="77777777" w:rsidR="0018128D" w:rsidRPr="00C275FA" w:rsidRDefault="0018128D" w:rsidP="0018128D">
      <w:pPr>
        <w:pStyle w:val="Standard"/>
        <w:jc w:val="both"/>
        <w:rPr>
          <w:rFonts w:eastAsia="Times New Roman" w:cs="Times New Roman"/>
        </w:rPr>
      </w:pPr>
      <w:proofErr w:type="spellStart"/>
      <w:r w:rsidRPr="679E79CE">
        <w:rPr>
          <w:rFonts w:eastAsia="Times New Roman" w:cs="Times New Roman"/>
        </w:rPr>
        <w:t>Obs</w:t>
      </w:r>
      <w:proofErr w:type="spellEnd"/>
      <w:r w:rsidRPr="679E79CE">
        <w:rPr>
          <w:rFonts w:eastAsia="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C275FA" w:rsidRDefault="0018128D" w:rsidP="0018128D">
      <w:pPr>
        <w:pStyle w:val="Standard"/>
        <w:jc w:val="both"/>
        <w:rPr>
          <w:rFonts w:cs="Times New Roman"/>
        </w:rPr>
      </w:pPr>
      <w:r w:rsidRPr="679E79CE">
        <w:rPr>
          <w:rFonts w:eastAsia="Times New Roman" w:cs="Times New Roman"/>
        </w:rPr>
        <w:t>Obs. 2 - Declaramos de que a empresa possui todos os requisitos exigidos no edital e no termo de re</w:t>
      </w:r>
      <w:r w:rsidRPr="679E79CE">
        <w:rPr>
          <w:rFonts w:cs="Times New Roman"/>
        </w:rPr>
        <w:t>ferência para o cumprimento do objeto contratual.</w:t>
      </w:r>
    </w:p>
    <w:p w14:paraId="2DC58C4F" w14:textId="77777777" w:rsidR="0018128D" w:rsidRPr="00C275FA" w:rsidRDefault="0018128D" w:rsidP="0018128D">
      <w:pPr>
        <w:pStyle w:val="Standard"/>
        <w:jc w:val="both"/>
        <w:rPr>
          <w:rFonts w:cs="Times New Roman"/>
        </w:rPr>
      </w:pPr>
    </w:p>
    <w:p w14:paraId="0EA4898B" w14:textId="77777777" w:rsidR="0018128D" w:rsidRPr="00C275FA" w:rsidRDefault="0018128D" w:rsidP="0018128D">
      <w:pPr>
        <w:pStyle w:val="Standard"/>
        <w:jc w:val="both"/>
        <w:rPr>
          <w:rFonts w:cs="Times New Roman"/>
        </w:rPr>
      </w:pP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13D7A416" w:rsidR="006F1CEE" w:rsidRDefault="006F1CEE" w:rsidP="004B21F2">
      <w:pPr>
        <w:pStyle w:val="Standard"/>
        <w:spacing w:after="113" w:line="360" w:lineRule="auto"/>
        <w:jc w:val="center"/>
        <w:rPr>
          <w:rFonts w:ascii="Times New Roman" w:hAnsi="Times New Roman" w:cs="Times New Roman"/>
          <w:b/>
          <w:bCs/>
          <w:u w:val="single"/>
        </w:rPr>
      </w:pPr>
    </w:p>
    <w:p w14:paraId="52BE8EAC" w14:textId="1114B8EF" w:rsidR="0073337A" w:rsidRDefault="0073337A" w:rsidP="004B21F2">
      <w:pPr>
        <w:pStyle w:val="Standard"/>
        <w:spacing w:after="113" w:line="360" w:lineRule="auto"/>
        <w:jc w:val="center"/>
        <w:rPr>
          <w:rFonts w:ascii="Times New Roman" w:hAnsi="Times New Roman" w:cs="Times New Roman"/>
          <w:b/>
          <w:bCs/>
          <w:u w:val="single"/>
        </w:rPr>
      </w:pPr>
    </w:p>
    <w:p w14:paraId="6307588D" w14:textId="39099627" w:rsidR="0073337A" w:rsidRDefault="0073337A" w:rsidP="004B21F2">
      <w:pPr>
        <w:pStyle w:val="Standard"/>
        <w:spacing w:after="113" w:line="360" w:lineRule="auto"/>
        <w:jc w:val="center"/>
        <w:rPr>
          <w:rFonts w:ascii="Times New Roman" w:hAnsi="Times New Roman" w:cs="Times New Roman"/>
          <w:b/>
          <w:bCs/>
          <w:u w:val="single"/>
        </w:rPr>
      </w:pPr>
    </w:p>
    <w:p w14:paraId="3FD21AF4" w14:textId="77777777" w:rsidR="0073337A" w:rsidRDefault="0073337A" w:rsidP="004B21F2">
      <w:pPr>
        <w:pStyle w:val="Standard"/>
        <w:spacing w:after="113" w:line="360" w:lineRule="auto"/>
        <w:jc w:val="center"/>
        <w:rPr>
          <w:rFonts w:ascii="Times New Roman" w:hAnsi="Times New Roman" w:cs="Times New Roman"/>
          <w:b/>
          <w:bCs/>
          <w:u w:val="single"/>
        </w:rPr>
      </w:pPr>
    </w:p>
    <w:p w14:paraId="699D380D" w14:textId="77777777" w:rsidR="006F1CEE" w:rsidRDefault="006F1CEE" w:rsidP="004B21F2">
      <w:pPr>
        <w:pStyle w:val="Standard"/>
        <w:spacing w:after="113" w:line="360" w:lineRule="auto"/>
        <w:jc w:val="center"/>
        <w:rPr>
          <w:rFonts w:ascii="Times New Roman" w:hAnsi="Times New Roman" w:cs="Times New Roman"/>
          <w:b/>
          <w:bCs/>
          <w:u w:val="single"/>
        </w:rPr>
      </w:pPr>
    </w:p>
    <w:p w14:paraId="361F3160" w14:textId="2D9A3B94"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AV</w:t>
      </w:r>
      <w:r w:rsidR="0073337A">
        <w:rPr>
          <w:rStyle w:val="normaltextrun"/>
          <w:b/>
          <w:bCs/>
          <w:u w:val="single"/>
        </w:rPr>
        <w:t>ISO DE DISPENSA ELETRÔNICA Nº 10</w:t>
      </w:r>
      <w:r>
        <w:rPr>
          <w:rStyle w:val="normaltextrun"/>
          <w:b/>
          <w:bCs/>
          <w:u w:val="single"/>
        </w:rPr>
        <w:t>/2023_</w:t>
      </w:r>
      <w:r>
        <w:rPr>
          <w:rStyle w:val="eop"/>
        </w:rPr>
        <w:t> </w:t>
      </w:r>
    </w:p>
    <w:p w14:paraId="65B6073D" w14:textId="32379CA4"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73337A" w:rsidRPr="0073337A">
        <w:rPr>
          <w:rStyle w:val="normaltextrun"/>
          <w:rFonts w:hint="eastAsia"/>
          <w:b/>
          <w:bCs/>
          <w:u w:val="single"/>
        </w:rPr>
        <w:t>19.00.6160.0003194/2023-47</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eop"/>
        </w:rPr>
        <w:t> </w:t>
      </w:r>
    </w:p>
    <w:p w14:paraId="010098EA"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xml:space="preserve">Brasília, ______ de _______________ </w:t>
      </w:r>
      <w:proofErr w:type="spellStart"/>
      <w:r>
        <w:rPr>
          <w:rStyle w:val="normaltextrun"/>
        </w:rPr>
        <w:t>de</w:t>
      </w:r>
      <w:proofErr w:type="spellEnd"/>
      <w:r>
        <w:rPr>
          <w:rStyle w:val="normaltextrun"/>
        </w:rPr>
        <w:t xml:space="preserve"> 2023.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p w14:paraId="6627B855" w14:textId="18BE5649"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t>AV</w:t>
      </w:r>
      <w:r w:rsidR="0073337A">
        <w:rPr>
          <w:rFonts w:ascii="Times New Roman" w:hAnsi="Times New Roman" w:cs="Times New Roman"/>
          <w:b/>
          <w:bCs/>
          <w:u w:val="single"/>
        </w:rPr>
        <w:t>ISO DE DISPENSA ELETRÔNICA Nº 10</w:t>
      </w:r>
      <w:r w:rsidRPr="004B21F2">
        <w:rPr>
          <w:rFonts w:ascii="Times New Roman" w:hAnsi="Times New Roman" w:cs="Times New Roman"/>
          <w:b/>
          <w:bCs/>
          <w:u w:val="single"/>
        </w:rPr>
        <w:t>/2023_</w:t>
      </w:r>
      <w:r w:rsidRPr="004B21F2">
        <w:rPr>
          <w:rFonts w:ascii="Times New Roman" w:hAnsi="Times New Roman" w:cs="Times New Roman"/>
          <w:kern w:val="0"/>
        </w:rPr>
        <w:t>  </w:t>
      </w:r>
    </w:p>
    <w:p w14:paraId="1CD7710B" w14:textId="67B3C3B3"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73337A" w:rsidRPr="0073337A">
        <w:rPr>
          <w:rFonts w:ascii="Times New Roman" w:eastAsia="Times New Roman" w:hAnsi="Times New Roman" w:cs="Times New Roman" w:hint="eastAsia"/>
          <w:b/>
          <w:bCs/>
          <w:u w:val="single"/>
        </w:rPr>
        <w:t>19.00.6160.0003194/2023-47</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lastRenderedPageBreak/>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2"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e demais legislação aplicável, 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1A3A14">
      <w:pPr>
        <w:pStyle w:val="Nivel01"/>
        <w:numPr>
          <w:ilvl w:val="0"/>
          <w:numId w:val="0"/>
        </w:numPr>
        <w:spacing w:line="360" w:lineRule="auto"/>
        <w:ind w:firstLine="567"/>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5AEED6C8" w:rsidR="00B96063" w:rsidRPr="00E00947" w:rsidRDefault="00B96063" w:rsidP="00476E3B">
      <w:pPr>
        <w:pStyle w:val="Nivel2"/>
        <w:numPr>
          <w:ilvl w:val="1"/>
          <w:numId w:val="14"/>
        </w:numPr>
        <w:spacing w:line="360" w:lineRule="auto"/>
        <w:ind w:left="0" w:firstLine="0"/>
        <w:rPr>
          <w:rFonts w:ascii="Times New Roman" w:eastAsia="Times New Roman" w:hAnsi="Times New Roman" w:cs="Times New Roman"/>
          <w:color w:val="auto"/>
          <w:sz w:val="24"/>
          <w:szCs w:val="24"/>
        </w:rPr>
      </w:pPr>
      <w:r w:rsidRPr="00E00947">
        <w:rPr>
          <w:rFonts w:ascii="Times New Roman" w:eastAsia="Times New Roman" w:hAnsi="Times New Roman" w:cs="Times New Roman"/>
          <w:color w:val="auto"/>
          <w:sz w:val="24"/>
          <w:szCs w:val="24"/>
        </w:rPr>
        <w:t xml:space="preserve">O objeto do presente </w:t>
      </w:r>
      <w:r w:rsidRPr="005A0E01">
        <w:rPr>
          <w:rFonts w:ascii="Times New Roman" w:eastAsia="Times New Roman" w:hAnsi="Times New Roman" w:cs="Times New Roman"/>
          <w:color w:val="auto"/>
          <w:sz w:val="24"/>
          <w:szCs w:val="24"/>
        </w:rPr>
        <w:t xml:space="preserve">instrumento </w:t>
      </w:r>
      <w:r w:rsidRPr="00E00947">
        <w:rPr>
          <w:rFonts w:ascii="Times New Roman" w:eastAsia="Times New Roman" w:hAnsi="Times New Roman" w:cs="Times New Roman"/>
          <w:color w:val="auto"/>
          <w:sz w:val="24"/>
          <w:szCs w:val="24"/>
        </w:rPr>
        <w:t xml:space="preserve">é a </w:t>
      </w:r>
      <w:r w:rsidR="00E00947" w:rsidRPr="00E00947">
        <w:rPr>
          <w:rFonts w:ascii="Times New Roman" w:eastAsia="Times New Roman" w:hAnsi="Times New Roman" w:cs="Times New Roman"/>
          <w:color w:val="auto"/>
          <w:sz w:val="24"/>
          <w:szCs w:val="24"/>
        </w:rPr>
        <w:t xml:space="preserve">Contratação de consultoria técnica especializada em acústica na análise do projeto básico arquitetônico desenvolvido para a construção da futura sede própria do CNMP e contratação de consultoria técnica especializada em acústica para a proposição de soluções para ambientes específicos da sede atual do CNMP; incluindo levantamento dos requisitos junto à CONTRATANTE, análise dos ambientes críticos e desenvolvimento de soluções para garantir o conforto e desempenho acústico adequado para cada situação em conformidade com as Normas ABNT NBR 12179 Tratamento acústico em recintos fechados e ABNT NBR 10152 </w:t>
      </w:r>
      <w:r w:rsidR="00E00947" w:rsidRPr="00E00947">
        <w:rPr>
          <w:rFonts w:ascii="Times New Roman" w:eastAsia="Times New Roman" w:hAnsi="Times New Roman" w:cs="Times New Roman"/>
          <w:color w:val="auto"/>
          <w:sz w:val="24"/>
          <w:szCs w:val="24"/>
        </w:rPr>
        <w:lastRenderedPageBreak/>
        <w:t>Acústica – Níveis de pressão sonora em ambientes internos a edificações,</w:t>
      </w:r>
      <w:r w:rsidR="005A0E01" w:rsidRPr="00E00947">
        <w:rPr>
          <w:rFonts w:ascii="Times New Roman" w:eastAsia="Times New Roman" w:hAnsi="Times New Roman" w:cs="Times New Roman"/>
          <w:color w:val="auto"/>
          <w:sz w:val="24"/>
          <w:szCs w:val="24"/>
        </w:rPr>
        <w:t xml:space="preserve"> </w:t>
      </w:r>
      <w:r w:rsidR="004B21F2" w:rsidRPr="00E00947">
        <w:rPr>
          <w:rFonts w:ascii="Times New Roman" w:eastAsia="Times New Roman" w:hAnsi="Times New Roman" w:cs="Times New Roman"/>
          <w:color w:val="auto"/>
          <w:sz w:val="24"/>
          <w:szCs w:val="24"/>
        </w:rPr>
        <w:t>conforme especificações e condições constantes</w:t>
      </w:r>
      <w:r w:rsidRPr="00E00947">
        <w:rPr>
          <w:rFonts w:ascii="Times New Roman" w:eastAsia="Times New Roman" w:hAnsi="Times New Roman" w:cs="Times New Roman"/>
          <w:color w:val="auto"/>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SEGUNDA – VIGÊNCIA E PRORROGAÇÃO</w:t>
      </w:r>
    </w:p>
    <w:p w14:paraId="5F196DEF" w14:textId="1FE9DB5F" w:rsidR="00B96063" w:rsidRPr="004B21F2" w:rsidRDefault="00B96063" w:rsidP="004B21F2">
      <w:pPr>
        <w:pStyle w:val="Nvel2-Red"/>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4562B2" w:rsidRPr="00CC0809">
        <w:rPr>
          <w:rFonts w:ascii="Times New Roman" w:eastAsia="Times New Roman" w:hAnsi="Times New Roman" w:cs="Times New Roman"/>
          <w:i w:val="0"/>
          <w:iCs w:val="0"/>
          <w:color w:val="auto"/>
          <w:sz w:val="24"/>
          <w:szCs w:val="24"/>
        </w:rPr>
        <w:t>O contrato terá vigência de 12 (doze) meses, a partir da sua assinatura</w:t>
      </w:r>
      <w:r w:rsidR="00CC0809">
        <w:rPr>
          <w:rFonts w:ascii="Times New Roman" w:eastAsia="Times New Roman" w:hAnsi="Times New Roman" w:cs="Times New Roman"/>
          <w:i w:val="0"/>
          <w:iCs w:val="0"/>
          <w:color w:val="auto"/>
          <w:sz w:val="24"/>
          <w:szCs w:val="24"/>
        </w:rPr>
        <w:t xml:space="preserve">. </w:t>
      </w:r>
      <w:r w:rsidR="004562B2" w:rsidRPr="00CC0809">
        <w:rPr>
          <w:rFonts w:ascii="Times New Roman" w:hAnsi="Times New Roman" w:cs="Times New Roman"/>
          <w:i w:val="0"/>
          <w:iCs w:val="0"/>
          <w:color w:val="000000"/>
          <w:sz w:val="24"/>
          <w:szCs w:val="24"/>
        </w:rPr>
        <w:t xml:space="preserve"> </w:t>
      </w:r>
      <w:r w:rsidR="005A0E01" w:rsidRPr="00CC0809">
        <w:rPr>
          <w:rFonts w:ascii="Times New Roman" w:hAnsi="Times New Roman" w:cs="Times New Roman"/>
          <w:i w:val="0"/>
          <w:iCs w:val="0"/>
          <w:color w:val="000000"/>
          <w:sz w:val="24"/>
          <w:szCs w:val="24"/>
        </w:rPr>
        <w:t>T</w:t>
      </w:r>
      <w:r w:rsidR="001A3A14" w:rsidRPr="00CC0809">
        <w:rPr>
          <w:rFonts w:ascii="Times New Roman" w:hAnsi="Times New Roman" w:cs="Times New Roman"/>
          <w:i w:val="0"/>
          <w:iCs w:val="0"/>
          <w:color w:val="000000"/>
          <w:sz w:val="24"/>
          <w:szCs w:val="24"/>
        </w:rPr>
        <w:t>erá</w:t>
      </w:r>
      <w:r w:rsidR="001A3A14" w:rsidRPr="005A0E01">
        <w:rPr>
          <w:rFonts w:ascii="Times New Roman" w:hAnsi="Times New Roman" w:cs="Times New Roman"/>
          <w:i w:val="0"/>
          <w:iCs w:val="0"/>
          <w:color w:val="000000"/>
          <w:sz w:val="24"/>
          <w:szCs w:val="24"/>
        </w:rPr>
        <w:t xml:space="preserve"> eficácia legal após a publicação do seu extrato</w:t>
      </w:r>
      <w:r w:rsidR="001A3A14" w:rsidRPr="001A3A14">
        <w:rPr>
          <w:rFonts w:ascii="Times New Roman" w:hAnsi="Times New Roman" w:cs="Times New Roman"/>
          <w:i w:val="0"/>
          <w:iCs w:val="0"/>
          <w:color w:val="000000"/>
          <w:sz w:val="24"/>
        </w:rPr>
        <w:t xml:space="preserve"> no Diário Oficia</w:t>
      </w:r>
      <w:r w:rsidR="001A3A14">
        <w:rPr>
          <w:rFonts w:ascii="Times New Roman" w:hAnsi="Times New Roman" w:cs="Times New Roman"/>
          <w:i w:val="0"/>
          <w:iCs w:val="0"/>
          <w:color w:val="000000"/>
          <w:sz w:val="24"/>
        </w:rPr>
        <w:t>l da União.</w:t>
      </w:r>
    </w:p>
    <w:p w14:paraId="35C6435C" w14:textId="4E30877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bookmarkStart w:id="7" w:name="_Hlk114497577"/>
      <w:bookmarkStart w:id="8" w:name="_Hlk114497502"/>
      <w:bookmarkEnd w:id="7"/>
      <w:bookmarkEnd w:id="8"/>
      <w:r w:rsidRPr="004B21F2">
        <w:rPr>
          <w:rFonts w:ascii="Times New Roman" w:hAnsi="Times New Roman" w:cs="Times New Roman"/>
          <w:sz w:val="24"/>
          <w:szCs w:val="24"/>
        </w:rPr>
        <w:t xml:space="preserve">CLÁUSULA TERCEIRA – MODELOS DE EXECUÇÃO E GESTÃO CONTRATUAIS </w:t>
      </w:r>
    </w:p>
    <w:p w14:paraId="1212FDB6" w14:textId="7688FE6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Pr="00BA212A"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1B017836" w14:textId="48041732" w:rsidR="004512B0"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74C93E29" w14:textId="4920AA6C" w:rsidR="00B96063" w:rsidRDefault="00B96063" w:rsidP="004B21F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7CF6D22" w14:textId="77777777" w:rsidR="006D008E" w:rsidRDefault="006D008E" w:rsidP="006D008E">
      <w:pPr>
        <w:pStyle w:val="Nivel01"/>
        <w:numPr>
          <w:ilvl w:val="0"/>
          <w:numId w:val="0"/>
        </w:numPr>
      </w:pPr>
    </w:p>
    <w:tbl>
      <w:tblPr>
        <w:tblStyle w:val="Tabelacomgrade"/>
        <w:tblW w:w="9493" w:type="dxa"/>
        <w:tblLayout w:type="fixed"/>
        <w:tblLook w:val="04A0" w:firstRow="1" w:lastRow="0" w:firstColumn="1" w:lastColumn="0" w:noHBand="0" w:noVBand="1"/>
      </w:tblPr>
      <w:tblGrid>
        <w:gridCol w:w="742"/>
        <w:gridCol w:w="2468"/>
        <w:gridCol w:w="1537"/>
        <w:gridCol w:w="1397"/>
        <w:gridCol w:w="1259"/>
        <w:gridCol w:w="2090"/>
      </w:tblGrid>
      <w:tr w:rsidR="00E00947" w14:paraId="363940B6" w14:textId="77777777" w:rsidTr="00E00947">
        <w:trPr>
          <w:trHeight w:val="300"/>
        </w:trPr>
        <w:tc>
          <w:tcPr>
            <w:tcW w:w="742" w:type="dxa"/>
            <w:shd w:val="clear" w:color="auto" w:fill="BFBFBF" w:themeFill="background1" w:themeFillShade="BF"/>
          </w:tcPr>
          <w:p w14:paraId="72297F1B" w14:textId="562AC141" w:rsidR="00E00947" w:rsidRPr="00E00947" w:rsidRDefault="00E00947" w:rsidP="00C459BE">
            <w:pPr>
              <w:pStyle w:val="Default"/>
              <w:spacing w:line="360" w:lineRule="auto"/>
              <w:rPr>
                <w:rFonts w:eastAsia="Times New Roman"/>
                <w:b/>
                <w:color w:val="000000" w:themeColor="text1"/>
              </w:rPr>
            </w:pPr>
            <w:r w:rsidRPr="00E00947">
              <w:rPr>
                <w:rFonts w:eastAsia="Times New Roman"/>
                <w:b/>
                <w:color w:val="000000" w:themeColor="text1"/>
              </w:rPr>
              <w:t>Item</w:t>
            </w:r>
          </w:p>
        </w:tc>
        <w:tc>
          <w:tcPr>
            <w:tcW w:w="2468" w:type="dxa"/>
            <w:shd w:val="clear" w:color="auto" w:fill="BFBFBF" w:themeFill="background1" w:themeFillShade="BF"/>
          </w:tcPr>
          <w:p w14:paraId="3CFE16A9" w14:textId="02D18311" w:rsidR="00E00947" w:rsidRPr="00E00947" w:rsidRDefault="00E00947" w:rsidP="00C459BE">
            <w:pPr>
              <w:pStyle w:val="Default"/>
              <w:spacing w:line="360" w:lineRule="auto"/>
              <w:rPr>
                <w:rFonts w:eastAsia="Times New Roman"/>
                <w:b/>
                <w:color w:val="000000" w:themeColor="text1"/>
              </w:rPr>
            </w:pPr>
            <w:r w:rsidRPr="00E00947">
              <w:rPr>
                <w:rFonts w:eastAsia="Times New Roman"/>
                <w:b/>
                <w:color w:val="000000" w:themeColor="text1"/>
              </w:rPr>
              <w:t>Descrição</w:t>
            </w:r>
          </w:p>
        </w:tc>
        <w:tc>
          <w:tcPr>
            <w:tcW w:w="1537" w:type="dxa"/>
            <w:shd w:val="clear" w:color="auto" w:fill="BFBFBF" w:themeFill="background1" w:themeFillShade="BF"/>
          </w:tcPr>
          <w:p w14:paraId="7AB821F0" w14:textId="562C203A" w:rsidR="00E00947" w:rsidRPr="00E00947" w:rsidRDefault="00E00947" w:rsidP="00C459BE">
            <w:pPr>
              <w:pStyle w:val="Default"/>
              <w:spacing w:line="360" w:lineRule="auto"/>
              <w:rPr>
                <w:rFonts w:eastAsia="Times New Roman"/>
                <w:b/>
                <w:color w:val="000000" w:themeColor="text1"/>
              </w:rPr>
            </w:pPr>
            <w:r w:rsidRPr="00E00947">
              <w:rPr>
                <w:rFonts w:eastAsia="Times New Roman"/>
                <w:b/>
                <w:color w:val="000000" w:themeColor="text1"/>
              </w:rPr>
              <w:t>Quantidade</w:t>
            </w:r>
          </w:p>
        </w:tc>
        <w:tc>
          <w:tcPr>
            <w:tcW w:w="1397" w:type="dxa"/>
            <w:shd w:val="clear" w:color="auto" w:fill="BFBFBF" w:themeFill="background1" w:themeFillShade="BF"/>
          </w:tcPr>
          <w:p w14:paraId="04FAFE82" w14:textId="4205EFD5" w:rsidR="00E00947" w:rsidRPr="00E00947" w:rsidRDefault="00E00947" w:rsidP="00C459BE">
            <w:pPr>
              <w:pStyle w:val="Default"/>
              <w:spacing w:line="360" w:lineRule="auto"/>
              <w:rPr>
                <w:rFonts w:eastAsia="Times New Roman"/>
                <w:b/>
                <w:color w:val="000000" w:themeColor="text1"/>
              </w:rPr>
            </w:pPr>
            <w:r w:rsidRPr="00E00947">
              <w:rPr>
                <w:rFonts w:eastAsia="Times New Roman"/>
                <w:b/>
                <w:color w:val="000000" w:themeColor="text1"/>
              </w:rPr>
              <w:t>Unidade</w:t>
            </w:r>
          </w:p>
        </w:tc>
        <w:tc>
          <w:tcPr>
            <w:tcW w:w="1259" w:type="dxa"/>
            <w:shd w:val="clear" w:color="auto" w:fill="BFBFBF" w:themeFill="background1" w:themeFillShade="BF"/>
          </w:tcPr>
          <w:p w14:paraId="2C0280B1" w14:textId="2878F09B" w:rsidR="00E00947" w:rsidRPr="00E00947" w:rsidRDefault="00E00947" w:rsidP="00C459BE">
            <w:pPr>
              <w:pStyle w:val="Default"/>
              <w:spacing w:line="360" w:lineRule="auto"/>
              <w:rPr>
                <w:rFonts w:eastAsia="Times New Roman"/>
                <w:b/>
                <w:color w:val="000000" w:themeColor="text1"/>
              </w:rPr>
            </w:pPr>
            <w:r w:rsidRPr="00E00947">
              <w:rPr>
                <w:rFonts w:eastAsia="Times New Roman"/>
                <w:b/>
                <w:color w:val="000000" w:themeColor="text1"/>
              </w:rPr>
              <w:t>Preço unitário</w:t>
            </w:r>
          </w:p>
        </w:tc>
        <w:tc>
          <w:tcPr>
            <w:tcW w:w="2090" w:type="dxa"/>
            <w:shd w:val="clear" w:color="auto" w:fill="BFBFBF" w:themeFill="background1" w:themeFillShade="BF"/>
          </w:tcPr>
          <w:p w14:paraId="770FDA5E" w14:textId="6D597061" w:rsidR="00E00947" w:rsidRPr="00E00947" w:rsidRDefault="00E00947" w:rsidP="00C459BE">
            <w:pPr>
              <w:pStyle w:val="Default"/>
              <w:spacing w:line="360" w:lineRule="auto"/>
              <w:rPr>
                <w:rFonts w:eastAsia="Times New Roman"/>
                <w:b/>
                <w:color w:val="000000" w:themeColor="text1"/>
              </w:rPr>
            </w:pPr>
            <w:r w:rsidRPr="00E00947">
              <w:rPr>
                <w:rFonts w:eastAsia="Times New Roman"/>
                <w:b/>
                <w:color w:val="000000" w:themeColor="text1"/>
              </w:rPr>
              <w:t>Preço total</w:t>
            </w:r>
          </w:p>
        </w:tc>
      </w:tr>
      <w:tr w:rsidR="00E00947" w14:paraId="0C74703A" w14:textId="77777777" w:rsidTr="00E00947">
        <w:trPr>
          <w:trHeight w:val="1170"/>
        </w:trPr>
        <w:tc>
          <w:tcPr>
            <w:tcW w:w="742" w:type="dxa"/>
          </w:tcPr>
          <w:p w14:paraId="4D7443A2" w14:textId="77777777" w:rsidR="00E00947" w:rsidRPr="00E00947" w:rsidRDefault="00E00947" w:rsidP="00C459BE">
            <w:pPr>
              <w:pStyle w:val="Default"/>
              <w:spacing w:line="360" w:lineRule="auto"/>
              <w:rPr>
                <w:rFonts w:eastAsia="Times New Roman"/>
                <w:color w:val="000000" w:themeColor="text1"/>
              </w:rPr>
            </w:pPr>
            <w:r w:rsidRPr="00E00947">
              <w:rPr>
                <w:rFonts w:eastAsia="Times New Roman"/>
                <w:color w:val="000000" w:themeColor="text1"/>
              </w:rPr>
              <w:t>1</w:t>
            </w:r>
          </w:p>
        </w:tc>
        <w:tc>
          <w:tcPr>
            <w:tcW w:w="2468" w:type="dxa"/>
          </w:tcPr>
          <w:p w14:paraId="00537C91" w14:textId="77777777" w:rsidR="00E00947" w:rsidRPr="00E00947" w:rsidRDefault="00E00947" w:rsidP="00C459BE">
            <w:pPr>
              <w:spacing w:line="360" w:lineRule="auto"/>
              <w:rPr>
                <w:rFonts w:ascii="Times New Roman" w:hAnsi="Times New Roman" w:cs="Times New Roman"/>
              </w:rPr>
            </w:pPr>
            <w:r w:rsidRPr="00E00947">
              <w:rPr>
                <w:rFonts w:ascii="Times New Roman" w:hAnsi="Times New Roman" w:cs="Times New Roman"/>
              </w:rPr>
              <w:t xml:space="preserve">Prestação de serviços em consultoria técnica para atenuação sonora e condicionamento </w:t>
            </w:r>
            <w:r w:rsidRPr="00E00947">
              <w:rPr>
                <w:rFonts w:ascii="Times New Roman" w:hAnsi="Times New Roman" w:cs="Times New Roman"/>
              </w:rPr>
              <w:lastRenderedPageBreak/>
              <w:t xml:space="preserve">acústico dos seguintes ambientes da futura sede própria do CNMP: </w:t>
            </w:r>
          </w:p>
          <w:p w14:paraId="1DDE6A92" w14:textId="77777777" w:rsidR="00E00947" w:rsidRPr="00E00947" w:rsidRDefault="00E00947" w:rsidP="00C459BE">
            <w:pPr>
              <w:spacing w:line="360" w:lineRule="auto"/>
              <w:rPr>
                <w:rFonts w:ascii="Times New Roman" w:hAnsi="Times New Roman" w:cs="Times New Roman"/>
              </w:rPr>
            </w:pPr>
            <w:r w:rsidRPr="00E00947">
              <w:rPr>
                <w:rFonts w:ascii="Times New Roman" w:hAnsi="Times New Roman" w:cs="Times New Roman"/>
              </w:rPr>
              <w:t xml:space="preserve">1. Ambientes de Plenário, Auditório e Estúdio; </w:t>
            </w:r>
          </w:p>
          <w:p w14:paraId="78AB16BD" w14:textId="77777777" w:rsidR="00E00947" w:rsidRPr="00E00947" w:rsidRDefault="00E00947" w:rsidP="00C459BE">
            <w:pPr>
              <w:spacing w:line="360" w:lineRule="auto"/>
              <w:rPr>
                <w:rFonts w:ascii="Times New Roman" w:hAnsi="Times New Roman" w:cs="Times New Roman"/>
              </w:rPr>
            </w:pPr>
            <w:r w:rsidRPr="00E00947">
              <w:rPr>
                <w:rFonts w:ascii="Times New Roman" w:hAnsi="Times New Roman" w:cs="Times New Roman"/>
              </w:rPr>
              <w:t>2. Biblioteca</w:t>
            </w:r>
          </w:p>
          <w:p w14:paraId="5694459F" w14:textId="77777777" w:rsidR="00E00947" w:rsidRPr="00E00947" w:rsidRDefault="00E00947" w:rsidP="00C459BE">
            <w:pPr>
              <w:spacing w:line="360" w:lineRule="auto"/>
              <w:rPr>
                <w:rFonts w:ascii="Times New Roman" w:hAnsi="Times New Roman" w:cs="Times New Roman"/>
              </w:rPr>
            </w:pPr>
            <w:r w:rsidRPr="00E00947">
              <w:rPr>
                <w:rFonts w:ascii="Times New Roman" w:hAnsi="Times New Roman" w:cs="Times New Roman"/>
              </w:rPr>
              <w:t>3. Salas de atendimento da equipe da Segurança, Secretaria de Gestão de Pessoas e na Ouvidoria Nacional;</w:t>
            </w:r>
          </w:p>
          <w:p w14:paraId="113FD36F" w14:textId="77777777" w:rsidR="00E00947" w:rsidRPr="00E00947" w:rsidRDefault="00E00947" w:rsidP="00C459BE">
            <w:pPr>
              <w:spacing w:line="360" w:lineRule="auto"/>
              <w:rPr>
                <w:rFonts w:ascii="Times New Roman" w:hAnsi="Times New Roman" w:cs="Times New Roman"/>
              </w:rPr>
            </w:pPr>
            <w:r w:rsidRPr="00E00947">
              <w:rPr>
                <w:rFonts w:ascii="Times New Roman" w:hAnsi="Times New Roman" w:cs="Times New Roman"/>
              </w:rPr>
              <w:t xml:space="preserve">4. Salas de reuniões distribuídas no térreo e 1º Pavimento; </w:t>
            </w:r>
          </w:p>
          <w:p w14:paraId="589F07AA" w14:textId="77777777" w:rsidR="00E00947" w:rsidRPr="00E00947" w:rsidRDefault="00E00947" w:rsidP="00C459BE">
            <w:pPr>
              <w:spacing w:line="360" w:lineRule="auto"/>
              <w:rPr>
                <w:rFonts w:ascii="Times New Roman" w:eastAsia="Times New Roman" w:hAnsi="Times New Roman" w:cs="Times New Roman"/>
                <w:color w:val="000000" w:themeColor="text1"/>
              </w:rPr>
            </w:pPr>
            <w:r w:rsidRPr="00E00947">
              <w:rPr>
                <w:rFonts w:ascii="Times New Roman" w:hAnsi="Times New Roman" w:cs="Times New Roman"/>
              </w:rPr>
              <w:t>5. Gabinete de autoridades (caso mais crítico).</w:t>
            </w:r>
          </w:p>
        </w:tc>
        <w:tc>
          <w:tcPr>
            <w:tcW w:w="1537" w:type="dxa"/>
          </w:tcPr>
          <w:p w14:paraId="67F5E364" w14:textId="77777777" w:rsidR="00E00947" w:rsidRDefault="00E00947" w:rsidP="00C459BE">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01</w:t>
            </w:r>
          </w:p>
        </w:tc>
        <w:tc>
          <w:tcPr>
            <w:tcW w:w="1397" w:type="dxa"/>
          </w:tcPr>
          <w:p w14:paraId="5F215CFA" w14:textId="77777777" w:rsidR="00E00947" w:rsidRDefault="00E00947"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Unidade</w:t>
            </w:r>
          </w:p>
        </w:tc>
        <w:tc>
          <w:tcPr>
            <w:tcW w:w="1259" w:type="dxa"/>
          </w:tcPr>
          <w:p w14:paraId="1DF8C102" w14:textId="77777777" w:rsidR="00E00947" w:rsidRDefault="00E00947" w:rsidP="00C459BE">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R$ </w:t>
            </w:r>
          </w:p>
        </w:tc>
        <w:tc>
          <w:tcPr>
            <w:tcW w:w="2090" w:type="dxa"/>
          </w:tcPr>
          <w:p w14:paraId="6B112990" w14:textId="77777777" w:rsidR="00E00947" w:rsidRDefault="00E00947" w:rsidP="00C459BE">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R$</w:t>
            </w:r>
          </w:p>
        </w:tc>
      </w:tr>
      <w:tr w:rsidR="00E00947" w14:paraId="2676A2CF" w14:textId="77777777" w:rsidTr="00E00947">
        <w:trPr>
          <w:trHeight w:val="1170"/>
        </w:trPr>
        <w:tc>
          <w:tcPr>
            <w:tcW w:w="742" w:type="dxa"/>
          </w:tcPr>
          <w:p w14:paraId="6A021EBC" w14:textId="77777777" w:rsidR="00E00947" w:rsidRPr="00E00947" w:rsidRDefault="00E00947" w:rsidP="00C459BE">
            <w:pPr>
              <w:pStyle w:val="Default"/>
              <w:spacing w:line="360" w:lineRule="auto"/>
              <w:rPr>
                <w:rFonts w:eastAsia="Times New Roman"/>
                <w:color w:val="000000" w:themeColor="text1"/>
              </w:rPr>
            </w:pPr>
            <w:r w:rsidRPr="00E00947">
              <w:rPr>
                <w:rFonts w:eastAsia="Times New Roman"/>
                <w:color w:val="000000" w:themeColor="text1"/>
              </w:rPr>
              <w:t>2</w:t>
            </w:r>
          </w:p>
        </w:tc>
        <w:tc>
          <w:tcPr>
            <w:tcW w:w="2468" w:type="dxa"/>
          </w:tcPr>
          <w:p w14:paraId="6E61FEF1" w14:textId="77777777" w:rsidR="00E00947" w:rsidRPr="00E00947" w:rsidRDefault="00E00947" w:rsidP="00C459BE">
            <w:pPr>
              <w:spacing w:line="360" w:lineRule="auto"/>
              <w:rPr>
                <w:rFonts w:ascii="Times New Roman" w:hAnsi="Times New Roman" w:cs="Times New Roman"/>
              </w:rPr>
            </w:pPr>
            <w:r w:rsidRPr="00E00947">
              <w:rPr>
                <w:rFonts w:ascii="Times New Roman" w:hAnsi="Times New Roman" w:cs="Times New Roman"/>
              </w:rPr>
              <w:t xml:space="preserve">Prestação de serviços em consultoria técnica para atenuação sonora e condicionamento acústico dos seguintes ambientes da atual sede do CNMP: </w:t>
            </w:r>
          </w:p>
          <w:p w14:paraId="407E4BED" w14:textId="77777777" w:rsidR="00E00947" w:rsidRPr="00E00947" w:rsidRDefault="00E00947" w:rsidP="00B2057A">
            <w:pPr>
              <w:pStyle w:val="PargrafodaLista"/>
              <w:numPr>
                <w:ilvl w:val="0"/>
                <w:numId w:val="28"/>
              </w:numPr>
              <w:spacing w:line="360" w:lineRule="auto"/>
              <w:rPr>
                <w:rFonts w:ascii="Times New Roman" w:hAnsi="Times New Roman" w:cs="Times New Roman"/>
              </w:rPr>
            </w:pPr>
            <w:r w:rsidRPr="00E00947">
              <w:rPr>
                <w:rFonts w:ascii="Times New Roman" w:hAnsi="Times New Roman" w:cs="Times New Roman"/>
              </w:rPr>
              <w:t>Plenário</w:t>
            </w:r>
          </w:p>
          <w:p w14:paraId="48339DFC" w14:textId="77777777" w:rsidR="00E00947" w:rsidRPr="00E00947" w:rsidRDefault="00E00947" w:rsidP="00B2057A">
            <w:pPr>
              <w:pStyle w:val="PargrafodaLista"/>
              <w:numPr>
                <w:ilvl w:val="0"/>
                <w:numId w:val="28"/>
              </w:numPr>
              <w:spacing w:line="360" w:lineRule="auto"/>
              <w:rPr>
                <w:rFonts w:ascii="Times New Roman" w:hAnsi="Times New Roman" w:cs="Times New Roman"/>
              </w:rPr>
            </w:pPr>
            <w:r w:rsidRPr="00E00947">
              <w:rPr>
                <w:rFonts w:ascii="Times New Roman" w:hAnsi="Times New Roman" w:cs="Times New Roman"/>
              </w:rPr>
              <w:t>Estúdio</w:t>
            </w:r>
          </w:p>
          <w:p w14:paraId="7F40B30C" w14:textId="77777777" w:rsidR="00E00947" w:rsidRPr="00E00947" w:rsidRDefault="00E00947" w:rsidP="00B2057A">
            <w:pPr>
              <w:pStyle w:val="PargrafodaLista"/>
              <w:numPr>
                <w:ilvl w:val="0"/>
                <w:numId w:val="28"/>
              </w:numPr>
              <w:spacing w:line="360" w:lineRule="auto"/>
              <w:rPr>
                <w:rFonts w:ascii="Times New Roman" w:hAnsi="Times New Roman" w:cs="Times New Roman"/>
              </w:rPr>
            </w:pPr>
            <w:r w:rsidRPr="00E00947">
              <w:rPr>
                <w:rFonts w:ascii="Times New Roman" w:hAnsi="Times New Roman" w:cs="Times New Roman"/>
              </w:rPr>
              <w:t>Biblioteca</w:t>
            </w:r>
          </w:p>
          <w:p w14:paraId="7021BFC7" w14:textId="77777777" w:rsidR="00E00947" w:rsidRPr="00E00947" w:rsidRDefault="00E00947" w:rsidP="00B2057A">
            <w:pPr>
              <w:pStyle w:val="PargrafodaLista"/>
              <w:numPr>
                <w:ilvl w:val="0"/>
                <w:numId w:val="28"/>
              </w:numPr>
              <w:spacing w:line="360" w:lineRule="auto"/>
              <w:rPr>
                <w:rFonts w:ascii="Times New Roman" w:hAnsi="Times New Roman" w:cs="Times New Roman"/>
              </w:rPr>
            </w:pPr>
            <w:r w:rsidRPr="00E00947">
              <w:rPr>
                <w:rFonts w:ascii="Times New Roman" w:hAnsi="Times New Roman" w:cs="Times New Roman"/>
              </w:rPr>
              <w:lastRenderedPageBreak/>
              <w:t>Salas de Reunião</w:t>
            </w:r>
          </w:p>
          <w:p w14:paraId="59C72F33" w14:textId="77777777" w:rsidR="00E00947" w:rsidRPr="00E00947" w:rsidRDefault="00E00947" w:rsidP="00B2057A">
            <w:pPr>
              <w:pStyle w:val="PargrafodaLista"/>
              <w:numPr>
                <w:ilvl w:val="0"/>
                <w:numId w:val="28"/>
              </w:numPr>
              <w:spacing w:line="360" w:lineRule="auto"/>
              <w:rPr>
                <w:rFonts w:ascii="Times New Roman" w:hAnsi="Times New Roman" w:cs="Times New Roman"/>
              </w:rPr>
            </w:pPr>
            <w:r w:rsidRPr="00E00947">
              <w:rPr>
                <w:rFonts w:ascii="Times New Roman" w:hAnsi="Times New Roman" w:cs="Times New Roman"/>
              </w:rPr>
              <w:t>Gabinetes de autoridades  (caso mais crítico).</w:t>
            </w:r>
          </w:p>
        </w:tc>
        <w:tc>
          <w:tcPr>
            <w:tcW w:w="1537" w:type="dxa"/>
          </w:tcPr>
          <w:p w14:paraId="496AA5BF" w14:textId="77777777" w:rsidR="00E00947" w:rsidRDefault="00E00947" w:rsidP="00C459BE">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01</w:t>
            </w:r>
          </w:p>
        </w:tc>
        <w:tc>
          <w:tcPr>
            <w:tcW w:w="1397" w:type="dxa"/>
          </w:tcPr>
          <w:p w14:paraId="1B6571A5" w14:textId="77777777" w:rsidR="00E00947" w:rsidRDefault="00E00947" w:rsidP="00C459B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Unidade</w:t>
            </w:r>
          </w:p>
        </w:tc>
        <w:tc>
          <w:tcPr>
            <w:tcW w:w="1259" w:type="dxa"/>
          </w:tcPr>
          <w:p w14:paraId="1DC597F1" w14:textId="77777777" w:rsidR="00E00947" w:rsidRDefault="00E00947" w:rsidP="00C459BE">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w:t>
            </w:r>
          </w:p>
        </w:tc>
        <w:tc>
          <w:tcPr>
            <w:tcW w:w="2090" w:type="dxa"/>
          </w:tcPr>
          <w:p w14:paraId="4062B997" w14:textId="77777777" w:rsidR="00E00947" w:rsidRDefault="00E00947" w:rsidP="00C459BE">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w:t>
            </w:r>
          </w:p>
        </w:tc>
      </w:tr>
      <w:tr w:rsidR="00E00947" w14:paraId="49387FA4" w14:textId="77777777" w:rsidTr="00E00947">
        <w:tc>
          <w:tcPr>
            <w:tcW w:w="4747" w:type="dxa"/>
            <w:gridSpan w:val="3"/>
            <w:shd w:val="clear" w:color="auto" w:fill="BFBFBF" w:themeFill="background1" w:themeFillShade="BF"/>
          </w:tcPr>
          <w:p w14:paraId="142B0F49" w14:textId="4751F85B" w:rsidR="00E00947" w:rsidRDefault="00E00947" w:rsidP="00E00947">
            <w:pPr>
              <w:pStyle w:val="Nivel01"/>
              <w:numPr>
                <w:ilvl w:val="0"/>
                <w:numId w:val="0"/>
              </w:numPr>
              <w:shd w:val="clear" w:color="auto" w:fill="BFBFBF" w:themeFill="background1" w:themeFillShade="BF"/>
            </w:pPr>
            <w:r>
              <w:t>Valor Total da Contratação</w:t>
            </w:r>
          </w:p>
        </w:tc>
        <w:tc>
          <w:tcPr>
            <w:tcW w:w="4746" w:type="dxa"/>
            <w:gridSpan w:val="3"/>
            <w:shd w:val="clear" w:color="auto" w:fill="BFBFBF" w:themeFill="background1" w:themeFillShade="BF"/>
          </w:tcPr>
          <w:p w14:paraId="52F62D66" w14:textId="553E52D0" w:rsidR="00E00947" w:rsidRDefault="00E00947" w:rsidP="00E00947">
            <w:pPr>
              <w:pStyle w:val="Nivel01"/>
              <w:numPr>
                <w:ilvl w:val="0"/>
                <w:numId w:val="0"/>
              </w:numPr>
              <w:shd w:val="clear" w:color="auto" w:fill="BFBFBF" w:themeFill="background1" w:themeFillShade="BF"/>
            </w:pPr>
            <w:r>
              <w:t>R$</w:t>
            </w:r>
          </w:p>
        </w:tc>
      </w:tr>
    </w:tbl>
    <w:p w14:paraId="4E8458D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040FEF6F" w:rsidR="005A0E01" w:rsidRDefault="005A0E01" w:rsidP="00F22165">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Os preços contratados são fixos e irreajustáveis no prazo de um ano contado da data do orçamento estimado no processo de contratação</w:t>
      </w:r>
      <w:r>
        <w:rPr>
          <w:rFonts w:ascii="Times New Roman" w:hAnsi="Times New Roman" w:cs="Times New Roman"/>
          <w:sz w:val="24"/>
          <w:szCs w:val="24"/>
        </w:rPr>
        <w:t>.</w:t>
      </w:r>
    </w:p>
    <w:p w14:paraId="7C9EDC09" w14:textId="1EC3A9A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9" w:name="_Hlk114499841"/>
      <w:bookmarkEnd w:id="9"/>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4"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4B21F2">
      <w:pPr>
        <w:pStyle w:val="Nivel01"/>
        <w:spacing w:line="360" w:lineRule="auto"/>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6"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7"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8"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w:t>
      </w:r>
      <w:r w:rsidRPr="00EF63C9">
        <w:rPr>
          <w:rFonts w:ascii="Times New Roman" w:hAnsi="Times New Roman" w:cs="Times New Roman"/>
          <w:i w:val="0"/>
          <w:iCs w:val="0"/>
          <w:color w:val="auto"/>
          <w:sz w:val="24"/>
          <w:szCs w:val="24"/>
        </w:rPr>
        <w:lastRenderedPageBreak/>
        <w:t xml:space="preserve">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1"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Pr="008F076A"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4B21F2">
          <w:rPr>
            <w:rStyle w:val="Hyperlink"/>
            <w:rFonts w:ascii="Times New Roman" w:eastAsia="Arial" w:hAnsi="Times New Roman" w:cs="Times New Roman"/>
          </w:rPr>
          <w:t xml:space="preserve">art. 156, §2º, da </w:t>
        </w:r>
        <w:bookmarkStart w:id="10" w:name="_Hlk114504069"/>
        <w:r w:rsidRPr="004B21F2">
          <w:rPr>
            <w:rStyle w:val="Hyperlink"/>
            <w:rFonts w:ascii="Times New Roman" w:eastAsia="Arial" w:hAnsi="Times New Roman" w:cs="Times New Roman"/>
          </w:rPr>
          <w:t>Lei nº 14.133, de 2021</w:t>
        </w:r>
        <w:bookmarkEnd w:id="10"/>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11CB9F0A"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CC0809">
        <w:rPr>
          <w:rFonts w:ascii="Times New Roman" w:hAnsi="Times New Roman" w:cs="Times New Roman"/>
        </w:rPr>
        <w:t>18</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CC0809">
        <w:rPr>
          <w:rFonts w:ascii="Times New Roman" w:hAnsi="Times New Roman" w:cs="Times New Roman"/>
        </w:rPr>
        <w:t>19</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5"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Todas as sanções previstas neste Contrato poderão ser aplicadas cumulativamente com a multa (</w:t>
      </w:r>
      <w:hyperlink r:id="rId36"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7"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1" w:name="_Hlk78351618"/>
      <w:bookmarkEnd w:id="11"/>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39"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0"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1"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 personalidade jurídica do Contratado poderá ser desconsiderada sempre que utilizada com abuso do direito para facilitar, encobrir ou dissimular a prática dos atos ilícitos previstos neste </w:t>
      </w:r>
      <w:r w:rsidRPr="004B21F2">
        <w:rPr>
          <w:rFonts w:ascii="Times New Roman" w:hAnsi="Times New Roman" w:cs="Times New Roman"/>
          <w:sz w:val="24"/>
          <w:szCs w:val="24"/>
        </w:rPr>
        <w:lastRenderedPageBreak/>
        <w:t>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5"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49"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Pr="0064405C"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4B21F2">
      <w:pPr>
        <w:pStyle w:val="Nivel01"/>
        <w:spacing w:line="360" w:lineRule="auto"/>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lastRenderedPageBreak/>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Pr="00AD771A"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2">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3"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4"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w:t>
      </w:r>
      <w:r w:rsidRPr="004B21F2">
        <w:rPr>
          <w:rFonts w:ascii="Times New Roman" w:hAnsi="Times New Roman" w:cs="Times New Roman"/>
          <w:sz w:val="24"/>
          <w:szCs w:val="24"/>
        </w:rPr>
        <w:lastRenderedPageBreak/>
        <w:t xml:space="preserve">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6"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7"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1F21A" w14:textId="77777777" w:rsidR="00E526B9" w:rsidRDefault="00E526B9">
      <w:pPr>
        <w:rPr>
          <w:rFonts w:hint="eastAsia"/>
        </w:rPr>
      </w:pPr>
      <w:r>
        <w:separator/>
      </w:r>
    </w:p>
  </w:endnote>
  <w:endnote w:type="continuationSeparator" w:id="0">
    <w:p w14:paraId="5082E5BA" w14:textId="77777777" w:rsidR="00E526B9" w:rsidRDefault="00E526B9">
      <w:pPr>
        <w:rPr>
          <w:rFonts w:hint="eastAsia"/>
        </w:rPr>
      </w:pPr>
      <w:r>
        <w:continuationSeparator/>
      </w:r>
    </w:p>
  </w:endnote>
  <w:endnote w:type="continuationNotice" w:id="1">
    <w:p w14:paraId="3C288DCE" w14:textId="77777777" w:rsidR="00E526B9" w:rsidRDefault="00E526B9">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C85F49" w:rsidRDefault="00C85F49" w:rsidP="004B21F2">
    <w:pPr>
      <w:pStyle w:val="Rodap"/>
      <w:ind w:right="-567"/>
      <w:jc w:val="both"/>
      <w:rPr>
        <w:rFonts w:ascii="Calibri" w:hAnsi="Calibri"/>
        <w:sz w:val="18"/>
        <w:szCs w:val="18"/>
      </w:rPr>
    </w:pPr>
  </w:p>
  <w:p w14:paraId="60465DAE" w14:textId="253241CC" w:rsidR="00C85F49" w:rsidRDefault="00C85F49" w:rsidP="004B21F2">
    <w:pPr>
      <w:pStyle w:val="Rodap"/>
      <w:jc w:val="both"/>
      <w:rPr>
        <w:rFonts w:hint="eastAsia"/>
      </w:rPr>
    </w:pPr>
    <w:r>
      <w:rPr>
        <w:rFonts w:ascii="Trebuchet MS" w:hAnsi="Trebuchet MS"/>
        <w:sz w:val="16"/>
        <w:szCs w:val="16"/>
      </w:rPr>
      <w:t xml:space="preserve">SEI </w:t>
    </w:r>
    <w:r w:rsidRPr="00D62CAD">
      <w:rPr>
        <w:rFonts w:ascii="Trebuchet MS" w:hAnsi="Trebuchet MS" w:hint="eastAsia"/>
        <w:sz w:val="16"/>
        <w:szCs w:val="16"/>
      </w:rPr>
      <w:t>19.00.6160.0003194/2023-47</w:t>
    </w:r>
    <w:r>
      <w:rPr>
        <w:rFonts w:ascii="Trebuchet MS" w:hAnsi="Trebuchet MS"/>
        <w:sz w:val="16"/>
        <w:szCs w:val="16"/>
      </w:rPr>
      <w:t xml:space="preserve">               Aviso de Dispensa de Licitação CNMP nº 10/2023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C92ABC">
      <w:rPr>
        <w:rFonts w:cs="Trebuchet MS" w:hint="eastAsia"/>
        <w:noProof/>
        <w:sz w:val="16"/>
        <w:szCs w:val="16"/>
      </w:rPr>
      <w:t>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C92ABC">
      <w:rPr>
        <w:rFonts w:cs="Trebuchet MS" w:hint="eastAsia"/>
        <w:noProof/>
        <w:sz w:val="16"/>
        <w:szCs w:val="16"/>
      </w:rPr>
      <w:t>66</w:t>
    </w:r>
    <w:r>
      <w:rPr>
        <w:rFonts w:cs="Trebuchet MS"/>
        <w:sz w:val="16"/>
        <w:szCs w:val="16"/>
      </w:rPr>
      <w:fldChar w:fldCharType="end"/>
    </w:r>
    <w:r>
      <w:rPr>
        <w:rFonts w:ascii="Trebuchet MS" w:hAnsi="Trebuchet MS"/>
        <w:sz w:val="16"/>
        <w:szCs w:val="16"/>
      </w:rPr>
      <w:t>.</w:t>
    </w:r>
  </w:p>
  <w:p w14:paraId="7E6308F2" w14:textId="73E1414E" w:rsidR="00C85F49" w:rsidRPr="004B21F2" w:rsidRDefault="00C85F49"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9B66" w14:textId="77777777" w:rsidR="00E526B9" w:rsidRDefault="00E526B9">
      <w:pPr>
        <w:rPr>
          <w:rFonts w:hint="eastAsia"/>
        </w:rPr>
      </w:pPr>
      <w:r>
        <w:separator/>
      </w:r>
    </w:p>
  </w:footnote>
  <w:footnote w:type="continuationSeparator" w:id="0">
    <w:p w14:paraId="1D105422" w14:textId="77777777" w:rsidR="00E526B9" w:rsidRDefault="00E526B9">
      <w:pPr>
        <w:rPr>
          <w:rFonts w:hint="eastAsia"/>
        </w:rPr>
      </w:pPr>
      <w:r>
        <w:continuationSeparator/>
      </w:r>
    </w:p>
  </w:footnote>
  <w:footnote w:type="continuationNotice" w:id="1">
    <w:p w14:paraId="23AC0662" w14:textId="77777777" w:rsidR="00E526B9" w:rsidRDefault="00E526B9">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C85F49" w14:paraId="035AA6A0" w14:textId="77777777" w:rsidTr="00687E70">
      <w:trPr>
        <w:trHeight w:val="300"/>
      </w:trPr>
      <w:tc>
        <w:tcPr>
          <w:tcW w:w="9072" w:type="dxa"/>
        </w:tcPr>
        <w:p w14:paraId="53848D80" w14:textId="46D3E95A" w:rsidR="00C85F49" w:rsidRDefault="00C85F49"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4.6pt;height:63pt;visibility:visible">
                <v:imagedata r:id="rId1" o:title="Objeto OLE"/>
              </v:shape>
              <o:OLEObject Type="Embed" ProgID="PBrush" ShapeID="_x0000_i1025" DrawAspect="Content" ObjectID="_1757231038" r:id="rId2"/>
            </w:object>
          </w:r>
        </w:p>
        <w:p w14:paraId="200DCE70" w14:textId="520464F4" w:rsidR="00C85F49" w:rsidRDefault="00C85F49"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C85F49" w:rsidRDefault="00C85F49" w:rsidP="6CDEAB8A">
          <w:pPr>
            <w:pStyle w:val="Cabealho"/>
            <w:ind w:left="-115"/>
            <w:rPr>
              <w:rFonts w:hint="eastAsia"/>
            </w:rPr>
          </w:pPr>
        </w:p>
      </w:tc>
      <w:tc>
        <w:tcPr>
          <w:tcW w:w="3020" w:type="dxa"/>
        </w:tcPr>
        <w:p w14:paraId="11FA3919" w14:textId="3419F088" w:rsidR="00C85F49" w:rsidRDefault="00C85F49" w:rsidP="6CDEAB8A">
          <w:pPr>
            <w:pStyle w:val="Cabealho"/>
            <w:jc w:val="center"/>
            <w:rPr>
              <w:rFonts w:hint="eastAsia"/>
            </w:rPr>
          </w:pPr>
        </w:p>
      </w:tc>
      <w:tc>
        <w:tcPr>
          <w:tcW w:w="3020" w:type="dxa"/>
        </w:tcPr>
        <w:p w14:paraId="56AE8220" w14:textId="1452A360" w:rsidR="00C85F49" w:rsidRDefault="00C85F49" w:rsidP="6CDEAB8A">
          <w:pPr>
            <w:pStyle w:val="Cabealho"/>
            <w:ind w:right="-115"/>
            <w:jc w:val="right"/>
            <w:rPr>
              <w:rFonts w:hint="eastAsia"/>
            </w:rPr>
          </w:pPr>
        </w:p>
      </w:tc>
    </w:tr>
  </w:tbl>
  <w:p w14:paraId="78B4EF61" w14:textId="5256FFED" w:rsidR="00C85F49" w:rsidRDefault="00C85F49"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 w15:restartNumberingAfterBreak="0">
    <w:nsid w:val="1D5C100D"/>
    <w:multiLevelType w:val="multilevel"/>
    <w:tmpl w:val="91DC0B36"/>
    <w:lvl w:ilvl="0">
      <w:start w:val="1"/>
      <w:numFmt w:val="decimal"/>
      <w:pStyle w:val="Nivel01"/>
      <w:lvlText w:val="%1."/>
      <w:lvlJc w:val="left"/>
      <w:pPr>
        <w:ind w:left="3195" w:hanging="360"/>
      </w:pPr>
      <w:rPr>
        <w:b/>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8" w15:restartNumberingAfterBreak="0">
    <w:nsid w:val="30502139"/>
    <w:multiLevelType w:val="hybridMultilevel"/>
    <w:tmpl w:val="A7BC7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6EE020A"/>
    <w:multiLevelType w:val="hybridMultilevel"/>
    <w:tmpl w:val="A7BC7C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013548"/>
    <w:multiLevelType w:val="hybridMultilevel"/>
    <w:tmpl w:val="A7BC7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4B5747"/>
    <w:multiLevelType w:val="hybridMultilevel"/>
    <w:tmpl w:val="A7BC7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64988560">
    <w:abstractNumId w:val="7"/>
  </w:num>
  <w:num w:numId="2" w16cid:durableId="1669483349">
    <w:abstractNumId w:val="0"/>
  </w:num>
  <w:num w:numId="3" w16cid:durableId="667902597">
    <w:abstractNumId w:val="23"/>
  </w:num>
  <w:num w:numId="4" w16cid:durableId="847719153">
    <w:abstractNumId w:val="25"/>
  </w:num>
  <w:num w:numId="5" w16cid:durableId="1753114421">
    <w:abstractNumId w:val="13"/>
  </w:num>
  <w:num w:numId="6" w16cid:durableId="255097372">
    <w:abstractNumId w:val="9"/>
  </w:num>
  <w:num w:numId="7" w16cid:durableId="1777367309">
    <w:abstractNumId w:val="15"/>
  </w:num>
  <w:num w:numId="8" w16cid:durableId="1457679633">
    <w:abstractNumId w:val="19"/>
  </w:num>
  <w:num w:numId="9" w16cid:durableId="180357210">
    <w:abstractNumId w:val="1"/>
  </w:num>
  <w:num w:numId="10" w16cid:durableId="1293681198">
    <w:abstractNumId w:val="2"/>
  </w:num>
  <w:num w:numId="11" w16cid:durableId="1843079335">
    <w:abstractNumId w:val="3"/>
  </w:num>
  <w:num w:numId="12" w16cid:durableId="603533045">
    <w:abstractNumId w:val="26"/>
  </w:num>
  <w:num w:numId="13" w16cid:durableId="454642088">
    <w:abstractNumId w:val="16"/>
  </w:num>
  <w:num w:numId="14" w16cid:durableId="992296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6259384">
    <w:abstractNumId w:val="4"/>
  </w:num>
  <w:num w:numId="16" w16cid:durableId="1758595796">
    <w:abstractNumId w:val="24"/>
  </w:num>
  <w:num w:numId="17" w16cid:durableId="247882866">
    <w:abstractNumId w:val="20"/>
  </w:num>
  <w:num w:numId="18" w16cid:durableId="1461847549">
    <w:abstractNumId w:val="17"/>
  </w:num>
  <w:num w:numId="19" w16cid:durableId="1223523409">
    <w:abstractNumId w:val="24"/>
    <w:lvlOverride w:ilvl="0">
      <w:startOverride w:val="1"/>
    </w:lvlOverride>
  </w:num>
  <w:num w:numId="20" w16cid:durableId="1508205977">
    <w:abstractNumId w:val="6"/>
  </w:num>
  <w:num w:numId="21" w16cid:durableId="1134953474">
    <w:abstractNumId w:val="14"/>
  </w:num>
  <w:num w:numId="22" w16cid:durableId="52656424">
    <w:abstractNumId w:val="5"/>
  </w:num>
  <w:num w:numId="23" w16cid:durableId="560363996">
    <w:abstractNumId w:val="22"/>
  </w:num>
  <w:num w:numId="24" w16cid:durableId="138111525">
    <w:abstractNumId w:val="12"/>
  </w:num>
  <w:num w:numId="25" w16cid:durableId="2079939339">
    <w:abstractNumId w:val="18"/>
  </w:num>
  <w:num w:numId="26" w16cid:durableId="810170305">
    <w:abstractNumId w:val="11"/>
  </w:num>
  <w:num w:numId="27" w16cid:durableId="55784164">
    <w:abstractNumId w:val="21"/>
  </w:num>
  <w:num w:numId="28" w16cid:durableId="77000775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A94"/>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8B2"/>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37A"/>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057A"/>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D5D"/>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49"/>
    <w:rsid w:val="00C85FED"/>
    <w:rsid w:val="00C86467"/>
    <w:rsid w:val="00C87199"/>
    <w:rsid w:val="00C87CB9"/>
    <w:rsid w:val="00C90404"/>
    <w:rsid w:val="00C90A32"/>
    <w:rsid w:val="00C912FD"/>
    <w:rsid w:val="00C91A3F"/>
    <w:rsid w:val="00C92316"/>
    <w:rsid w:val="00C92547"/>
    <w:rsid w:val="00C926FD"/>
    <w:rsid w:val="00C92ABC"/>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CAD"/>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947"/>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6B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Props1.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3.xml><?xml version="1.0" encoding="utf-8"?>
<ds:datastoreItem xmlns:ds="http://schemas.openxmlformats.org/officeDocument/2006/customXml" ds:itemID="{4FA0445E-4A9C-49DF-99F4-5CAFE576389F}">
  <ds:schemaRefs>
    <ds:schemaRef ds:uri="http://schemas.openxmlformats.org/officeDocument/2006/bibliography"/>
  </ds:schemaRefs>
</ds:datastoreItem>
</file>

<file path=customXml/itemProps4.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17859</Words>
  <Characters>96441</Characters>
  <Application>Microsoft Office Word</Application>
  <DocSecurity>0</DocSecurity>
  <Lines>803</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2023-09-26T13:58:00Z</dcterms:created>
  <dcterms:modified xsi:type="dcterms:W3CDTF">2023-09-26T13:58:00Z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