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6847" w14:textId="30342CCD"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0A5501">
        <w:rPr>
          <w:rFonts w:ascii="Times New Roman" w:hAnsi="Times New Roman" w:cs="Times New Roman"/>
          <w:b/>
          <w:bCs/>
          <w:u w:val="single"/>
        </w:rPr>
        <w:t>11</w:t>
      </w:r>
      <w:r w:rsidRPr="00C829CD">
        <w:rPr>
          <w:rFonts w:ascii="Times New Roman" w:hAnsi="Times New Roman" w:cs="Times New Roman"/>
          <w:b/>
          <w:bCs/>
          <w:u w:val="single"/>
        </w:rPr>
        <w:t>/2023</w:t>
      </w:r>
    </w:p>
    <w:p w14:paraId="2A6D2F15" w14:textId="03B00AB3"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19.00.6160.0003203/2023-95</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5AA059B2"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D9587E">
        <w:rPr>
          <w:rFonts w:ascii="Times New Roman" w:hAnsi="Times New Roman" w:cs="Times New Roman"/>
        </w:rPr>
        <w:t>29</w:t>
      </w:r>
      <w:r w:rsidR="00787233">
        <w:rPr>
          <w:rFonts w:ascii="Times New Roman" w:hAnsi="Times New Roman" w:cs="Times New Roman"/>
        </w:rPr>
        <w:t>/</w:t>
      </w:r>
      <w:r w:rsidR="00D9587E">
        <w:rPr>
          <w:rFonts w:ascii="Times New Roman" w:hAnsi="Times New Roman" w:cs="Times New Roman"/>
        </w:rPr>
        <w:t>09</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bookmarkStart w:id="0" w:name="_GoBack"/>
      <w:bookmarkEnd w:id="0"/>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418F6957"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w:t>
      </w:r>
      <w:r w:rsidR="00BE329E" w:rsidRPr="00BE329E">
        <w:rPr>
          <w:rFonts w:ascii="Times New Roman" w:hAnsi="Times New Roman" w:cs="Times New Roman"/>
        </w:rPr>
        <w:t>consultoria técnica especializada em solução audiovisual na análise do projeto básico arquitetônico desenvolvido e proposição de solução para futura implantação do parque audiovisual visando a construção do Edifício-sede do CNMP</w:t>
      </w:r>
      <w:r w:rsidR="001438C9" w:rsidRPr="001438C9">
        <w:rPr>
          <w:rFonts w:ascii="Times New Roman" w:hAnsi="Times New Roman" w:cs="Times New Roman"/>
        </w:rPr>
        <w:t>,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1438C9" w:rsidRPr="00300E38" w14:paraId="2B91A422" w14:textId="77777777" w:rsidTr="001438C9">
        <w:trPr>
          <w:trHeight w:val="300"/>
        </w:trPr>
        <w:tc>
          <w:tcPr>
            <w:tcW w:w="857" w:type="dxa"/>
            <w:shd w:val="clear" w:color="auto" w:fill="BFBFBF" w:themeFill="background1" w:themeFillShade="BF"/>
          </w:tcPr>
          <w:p w14:paraId="06FEEB6E"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bookmarkStart w:id="1" w:name="_Hlk136873503"/>
            <w:r w:rsidRPr="00300E38">
              <w:rPr>
                <w:rFonts w:eastAsia="Times New Roman"/>
                <w:b/>
                <w:bCs/>
                <w:color w:val="auto"/>
              </w:rPr>
              <w:t>ITEM</w:t>
            </w:r>
          </w:p>
        </w:tc>
        <w:tc>
          <w:tcPr>
            <w:tcW w:w="3135" w:type="dxa"/>
            <w:shd w:val="clear" w:color="auto" w:fill="BFBFBF" w:themeFill="background1" w:themeFillShade="BF"/>
          </w:tcPr>
          <w:p w14:paraId="7C9A8EE2"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3E936501"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3796B45A"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438C9" w:rsidRPr="00300E38" w14:paraId="6FA5C9A2" w14:textId="77777777" w:rsidTr="001438C9">
        <w:trPr>
          <w:trHeight w:val="2805"/>
        </w:trPr>
        <w:tc>
          <w:tcPr>
            <w:tcW w:w="857" w:type="dxa"/>
          </w:tcPr>
          <w:p w14:paraId="0D52721D" w14:textId="77777777" w:rsidR="001438C9" w:rsidRPr="00300E38" w:rsidRDefault="001438C9"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5FE3BA1D" w14:textId="77777777" w:rsidR="00BE329E" w:rsidRPr="000D3C4E" w:rsidRDefault="00BE329E" w:rsidP="000D3C4E">
            <w:pPr>
              <w:jc w:val="both"/>
              <w:rPr>
                <w:rFonts w:ascii="Times New Roman" w:eastAsia="Times New Roman" w:hAnsi="Times New Roman" w:cs="Times New Roman"/>
                <w:color w:val="000000" w:themeColor="text1"/>
              </w:rPr>
            </w:pPr>
            <w:r w:rsidRPr="000D3C4E">
              <w:rPr>
                <w:rFonts w:ascii="Times New Roman" w:eastAsia="Times New Roman" w:hAnsi="Times New Roman" w:cs="Times New Roman"/>
                <w:color w:val="000000" w:themeColor="text1"/>
              </w:rPr>
              <w:t>Contratação de consultoria técnica especializada na proposição de solução para futura implantação do parque audiovisual da futura sede própria do CNMP. O serviço contempla análise do projeto básico arquitetônico desenvolvido para a construção da futura sede própria do CNMP, com análise dos ambientes destinados a receber os equipamentos audiovisuais e o desenvolvimento de soluções para aparelhar os ambientes de modo a disponibilizar os recursos audiovisuais necessários para a execução das atividades do CNMP.</w:t>
            </w:r>
          </w:p>
          <w:p w14:paraId="2EF07A22" w14:textId="1352E58D" w:rsidR="001438C9" w:rsidRPr="00300E38" w:rsidRDefault="00BE329E" w:rsidP="000D3C4E">
            <w:pPr>
              <w:spacing w:after="100" w:afterAutospacing="1"/>
              <w:contextualSpacing/>
              <w:jc w:val="both"/>
              <w:rPr>
                <w:rFonts w:ascii="Times New Roman" w:hAnsi="Times New Roman" w:cs="Times New Roman"/>
              </w:rPr>
            </w:pPr>
            <w:r w:rsidRPr="000D3C4E">
              <w:rPr>
                <w:rFonts w:ascii="Times New Roman" w:eastAsia="Times New Roman" w:hAnsi="Times New Roman" w:cs="Times New Roman"/>
                <w:color w:val="000000" w:themeColor="text1"/>
              </w:rPr>
              <w:t>Deverão ser entregues os produtos relativos ao Levantamento dos Requisitos, ao Estudo de Viabilidade e ao Anteprojeto e seu detalhamento.</w:t>
            </w:r>
          </w:p>
        </w:tc>
        <w:tc>
          <w:tcPr>
            <w:tcW w:w="897" w:type="dxa"/>
          </w:tcPr>
          <w:p w14:paraId="1B9A78EB"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6B08D171"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3441BB3"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261008D0"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940CFDC"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5A8A3BA6" w14:textId="3C851769" w:rsidR="001438C9" w:rsidRPr="00300E38" w:rsidRDefault="00BE329E" w:rsidP="001438C9">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5ACD514E" w14:textId="77777777" w:rsidR="009461BB" w:rsidRDefault="009461BB" w:rsidP="001438C9">
            <w:pPr>
              <w:pStyle w:val="Default"/>
              <w:spacing w:after="100" w:afterAutospacing="1" w:line="360" w:lineRule="auto"/>
              <w:contextualSpacing/>
              <w:jc w:val="center"/>
              <w:rPr>
                <w:rFonts w:eastAsia="Times New Roman"/>
                <w:color w:val="auto"/>
              </w:rPr>
            </w:pPr>
          </w:p>
          <w:p w14:paraId="6F59CB95" w14:textId="77777777" w:rsidR="009461BB" w:rsidRDefault="009461BB" w:rsidP="001438C9">
            <w:pPr>
              <w:pStyle w:val="Default"/>
              <w:spacing w:after="100" w:afterAutospacing="1" w:line="360" w:lineRule="auto"/>
              <w:contextualSpacing/>
              <w:jc w:val="center"/>
              <w:rPr>
                <w:rFonts w:eastAsia="Times New Roman"/>
                <w:color w:val="auto"/>
              </w:rPr>
            </w:pPr>
          </w:p>
          <w:p w14:paraId="2593CE74" w14:textId="77777777" w:rsidR="009461BB" w:rsidRDefault="009461BB" w:rsidP="001438C9">
            <w:pPr>
              <w:pStyle w:val="Default"/>
              <w:spacing w:after="100" w:afterAutospacing="1" w:line="360" w:lineRule="auto"/>
              <w:contextualSpacing/>
              <w:jc w:val="center"/>
              <w:rPr>
                <w:rFonts w:eastAsia="Times New Roman"/>
                <w:color w:val="auto"/>
              </w:rPr>
            </w:pPr>
          </w:p>
          <w:p w14:paraId="59EAA03E" w14:textId="77777777" w:rsidR="009461BB" w:rsidRDefault="009461BB" w:rsidP="001438C9">
            <w:pPr>
              <w:pStyle w:val="Default"/>
              <w:spacing w:after="100" w:afterAutospacing="1" w:line="360" w:lineRule="auto"/>
              <w:contextualSpacing/>
              <w:jc w:val="center"/>
              <w:rPr>
                <w:rFonts w:eastAsia="Times New Roman"/>
                <w:color w:val="auto"/>
              </w:rPr>
            </w:pPr>
          </w:p>
          <w:p w14:paraId="0E3926BA" w14:textId="77777777" w:rsidR="009461BB" w:rsidRDefault="009461BB" w:rsidP="001438C9">
            <w:pPr>
              <w:pStyle w:val="Default"/>
              <w:spacing w:after="100" w:afterAutospacing="1" w:line="360" w:lineRule="auto"/>
              <w:contextualSpacing/>
              <w:jc w:val="center"/>
              <w:rPr>
                <w:rFonts w:eastAsia="Times New Roman"/>
                <w:color w:val="auto"/>
              </w:rPr>
            </w:pPr>
          </w:p>
          <w:p w14:paraId="041F2C38" w14:textId="627DB66B" w:rsidR="001438C9" w:rsidRPr="00300E38" w:rsidRDefault="00BE329E" w:rsidP="009461BB">
            <w:pPr>
              <w:pStyle w:val="Default"/>
              <w:spacing w:after="100" w:afterAutospacing="1" w:line="360" w:lineRule="auto"/>
              <w:contextualSpacing/>
              <w:rPr>
                <w:rFonts w:eastAsia="Times New Roman"/>
                <w:color w:val="auto"/>
              </w:rPr>
            </w:pPr>
            <w:r>
              <w:rPr>
                <w:rFonts w:eastAsia="Times New Roman"/>
                <w:color w:val="auto"/>
              </w:rPr>
              <w:t>Unidade</w:t>
            </w:r>
          </w:p>
        </w:tc>
        <w:tc>
          <w:tcPr>
            <w:tcW w:w="1707" w:type="dxa"/>
          </w:tcPr>
          <w:p w14:paraId="5EFEDEA6"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630DC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BA01EB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1D89F18"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7F536C"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AF01CD0" w14:textId="0B5434CF"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R$ </w:t>
            </w:r>
            <w:r w:rsidR="00BE329E">
              <w:rPr>
                <w:rFonts w:ascii="Times New Roman" w:eastAsia="Times New Roman" w:hAnsi="Times New Roman" w:cs="Times New Roman"/>
              </w:rPr>
              <w:t>95.000</w:t>
            </w:r>
            <w:r>
              <w:rPr>
                <w:rFonts w:ascii="Times New Roman" w:eastAsia="Times New Roman" w:hAnsi="Times New Roman" w:cs="Times New Roman"/>
              </w:rPr>
              <w:t>,00</w:t>
            </w:r>
          </w:p>
        </w:tc>
        <w:tc>
          <w:tcPr>
            <w:tcW w:w="1843" w:type="dxa"/>
          </w:tcPr>
          <w:p w14:paraId="1B303924"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5130B9EF"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E061D0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75EB44D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330922E"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288E2172" w14:textId="1D37AD4E" w:rsidR="001438C9" w:rsidRPr="00300E38" w:rsidRDefault="00BE329E"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R$ 95.000,00</w:t>
            </w:r>
          </w:p>
        </w:tc>
      </w:tr>
      <w:tr w:rsidR="001438C9" w14:paraId="14808202" w14:textId="77777777" w:rsidTr="001438C9">
        <w:tc>
          <w:tcPr>
            <w:tcW w:w="7933" w:type="dxa"/>
            <w:gridSpan w:val="5"/>
            <w:shd w:val="clear" w:color="auto" w:fill="BFBFBF" w:themeFill="background1" w:themeFillShade="BF"/>
          </w:tcPr>
          <w:p w14:paraId="080CA543" w14:textId="6E4261FC" w:rsidR="001438C9" w:rsidRPr="001438C9" w:rsidRDefault="001438C9" w:rsidP="00C829CD">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682CA9F1" w14:textId="3154BBC9" w:rsidR="001438C9" w:rsidRPr="00BE329E" w:rsidRDefault="00BE329E" w:rsidP="00C829CD">
            <w:pPr>
              <w:pStyle w:val="PargrafodaLista"/>
              <w:spacing w:line="360" w:lineRule="auto"/>
              <w:ind w:left="0"/>
              <w:rPr>
                <w:rFonts w:ascii="Times New Roman" w:hAnsi="Times New Roman" w:cs="Times New Roman"/>
                <w:b/>
                <w:bCs/>
              </w:rPr>
            </w:pPr>
            <w:r w:rsidRPr="00BE329E">
              <w:rPr>
                <w:rFonts w:ascii="Times New Roman" w:eastAsia="Times New Roman" w:hAnsi="Times New Roman" w:cs="Times New Roman"/>
                <w:b/>
                <w:bCs/>
              </w:rPr>
              <w:t>R$ 95.000,00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1"/>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2"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2"/>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os requisitos estabelecidos no artigo 3° da Lei Complementar nº 123, de 2006, estando apto a usufruir do tratamento favorecido estabelecido em seus arts.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3"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3"/>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certidão(ões)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do domicílio ou  sede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7E6A70EB"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18128D">
        <w:rPr>
          <w:rFonts w:eastAsia="Times New Roman"/>
        </w:rPr>
        <w:t>0</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como comportamento inidôneo da mesma forma as condutas dos arts.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4" w:name="art156§6"/>
      <w:bookmarkStart w:id="5" w:name="art156§7"/>
      <w:bookmarkStart w:id="6" w:name="art156§8"/>
      <w:bookmarkEnd w:id="4"/>
      <w:bookmarkEnd w:id="5"/>
      <w:bookmarkEnd w:id="6"/>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6570A08E" w:rsidR="00863FD8" w:rsidRDefault="00863FD8" w:rsidP="00863FD8">
      <w:pPr>
        <w:pStyle w:val="Standard"/>
        <w:spacing w:after="113" w:line="360" w:lineRule="auto"/>
        <w:jc w:val="center"/>
      </w:pPr>
      <w:r>
        <w:rPr>
          <w:rFonts w:ascii="Times New Roman" w:hAnsi="Times New Roman" w:cs="Times New Roman"/>
          <w:b/>
          <w:bCs/>
          <w:u w:val="single"/>
        </w:rPr>
        <w:t>AV</w:t>
      </w:r>
      <w:r w:rsidR="00B00FEE">
        <w:rPr>
          <w:rFonts w:ascii="Times New Roman" w:hAnsi="Times New Roman" w:cs="Times New Roman"/>
          <w:b/>
          <w:bCs/>
          <w:u w:val="single"/>
        </w:rPr>
        <w:t xml:space="preserve">ISO DE DISPENSA ELETRÔNICA Nº </w:t>
      </w:r>
      <w:r w:rsidR="000A5501">
        <w:rPr>
          <w:rFonts w:ascii="Times New Roman" w:hAnsi="Times New Roman" w:cs="Times New Roman"/>
          <w:b/>
          <w:bCs/>
          <w:u w:val="single"/>
        </w:rPr>
        <w:t>11</w:t>
      </w:r>
      <w:r>
        <w:rPr>
          <w:rFonts w:ascii="Times New Roman" w:hAnsi="Times New Roman" w:cs="Times New Roman"/>
          <w:b/>
          <w:bCs/>
          <w:u w:val="single"/>
        </w:rPr>
        <w:t>/2023_</w:t>
      </w:r>
    </w:p>
    <w:p w14:paraId="261B1109" w14:textId="1E76B1A6"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19.00.6160.0003203/2023-95</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04C093F6" w14:textId="77777777" w:rsidR="0018128D" w:rsidRPr="00C275FA" w:rsidRDefault="0018128D" w:rsidP="0018128D">
      <w:pPr>
        <w:pStyle w:val="Default"/>
        <w:spacing w:line="360" w:lineRule="auto"/>
        <w:ind w:firstLine="709"/>
        <w:jc w:val="center"/>
        <w:rPr>
          <w:rFonts w:eastAsia="Times New Roman"/>
          <w:color w:val="auto"/>
          <w:sz w:val="17"/>
          <w:szCs w:val="17"/>
        </w:rPr>
      </w:pPr>
    </w:p>
    <w:p w14:paraId="6AF8FFC8"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6D799D6E" w14:textId="77777777" w:rsidR="0018128D" w:rsidRPr="0092099A" w:rsidRDefault="0018128D" w:rsidP="0018128D">
      <w:pPr>
        <w:pStyle w:val="Default"/>
        <w:numPr>
          <w:ilvl w:val="1"/>
          <w:numId w:val="27"/>
        </w:numPr>
        <w:spacing w:line="360" w:lineRule="auto"/>
        <w:ind w:left="0" w:firstLine="0"/>
        <w:jc w:val="both"/>
        <w:rPr>
          <w:rFonts w:eastAsia="Times New Roman"/>
          <w:color w:val="auto"/>
        </w:rPr>
      </w:pPr>
      <w:r w:rsidRPr="0092099A">
        <w:t>C</w:t>
      </w:r>
      <w:r>
        <w:t xml:space="preserve">ontratação de consultoria técnica especializada em solução audiovisual na análise do projeto básico arquitetônico desenvolvido e proposição </w:t>
      </w:r>
      <w:r w:rsidRPr="00787391">
        <w:t>de solução para futura implantação do parque audiovisual</w:t>
      </w:r>
      <w:r>
        <w:t xml:space="preserve"> visando a construção do Edifício-sede do CNMP</w:t>
      </w:r>
      <w:r w:rsidRPr="0092099A">
        <w:rPr>
          <w:rFonts w:eastAsia="Times New Roman"/>
          <w:color w:val="auto"/>
        </w:rPr>
        <w:t>.</w:t>
      </w:r>
    </w:p>
    <w:p w14:paraId="6D9975E0" w14:textId="77777777" w:rsidR="0018128D" w:rsidRPr="0092099A" w:rsidRDefault="0018128D" w:rsidP="0018128D">
      <w:pPr>
        <w:pStyle w:val="Default"/>
        <w:spacing w:line="360" w:lineRule="auto"/>
        <w:jc w:val="both"/>
        <w:rPr>
          <w:rFonts w:eastAsia="Times New Roman"/>
          <w:color w:val="auto"/>
          <w:highlight w:val="yellow"/>
        </w:rPr>
      </w:pPr>
    </w:p>
    <w:p w14:paraId="334C0863" w14:textId="77777777" w:rsidR="0018128D" w:rsidRPr="00966F30"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06EA9B1B" w14:textId="77777777" w:rsidR="0018128D" w:rsidRPr="00966F30" w:rsidRDefault="0018128D" w:rsidP="0018128D">
      <w:pPr>
        <w:pStyle w:val="Default"/>
        <w:numPr>
          <w:ilvl w:val="1"/>
          <w:numId w:val="27"/>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714D05D1" w14:textId="77777777" w:rsidR="0018128D" w:rsidRPr="0092099A" w:rsidRDefault="0018128D" w:rsidP="0018128D">
      <w:pPr>
        <w:pStyle w:val="Default"/>
        <w:numPr>
          <w:ilvl w:val="2"/>
          <w:numId w:val="27"/>
        </w:numPr>
        <w:spacing w:line="360" w:lineRule="auto"/>
        <w:ind w:left="0" w:firstLine="0"/>
        <w:jc w:val="both"/>
        <w:rPr>
          <w:rFonts w:eastAsia="Times New Roman"/>
          <w:color w:val="auto"/>
        </w:rPr>
      </w:pPr>
      <w:r w:rsidRPr="0092099A">
        <w:rPr>
          <w:rFonts w:eastAsia="Times New Roman"/>
          <w:color w:val="auto"/>
        </w:rPr>
        <w:t>A Fundamentação da Contratação e de seus quantitativos está pormenorizada em Tópico específico dos Estudos Técnicos Preliminare</w:t>
      </w:r>
      <w:r w:rsidRPr="0092099A">
        <w:rPr>
          <w:rFonts w:eastAsiaTheme="minorEastAsia"/>
          <w:color w:val="auto"/>
        </w:rPr>
        <w:t>s – ETP, SEI nº</w:t>
      </w:r>
      <w:r>
        <w:rPr>
          <w:rFonts w:eastAsiaTheme="minorEastAsia"/>
          <w:color w:val="auto"/>
        </w:rPr>
        <w:t xml:space="preserve"> </w:t>
      </w:r>
      <w:r w:rsidRPr="0081773D">
        <w:rPr>
          <w:rFonts w:eastAsiaTheme="minorEastAsia"/>
          <w:color w:val="auto"/>
        </w:rPr>
        <w:t>0834650</w:t>
      </w:r>
      <w:r w:rsidRPr="0092099A">
        <w:rPr>
          <w:rFonts w:eastAsiaTheme="minorEastAsia"/>
          <w:color w:val="auto"/>
        </w:rPr>
        <w:t>.</w:t>
      </w:r>
    </w:p>
    <w:p w14:paraId="32E506CE" w14:textId="77777777" w:rsidR="0018128D" w:rsidRPr="0092099A" w:rsidRDefault="0018128D" w:rsidP="0018128D">
      <w:pPr>
        <w:pStyle w:val="Default"/>
        <w:numPr>
          <w:ilvl w:val="2"/>
          <w:numId w:val="27"/>
        </w:numPr>
        <w:spacing w:line="360" w:lineRule="auto"/>
        <w:ind w:left="0" w:firstLine="0"/>
        <w:jc w:val="both"/>
        <w:rPr>
          <w:rFonts w:eastAsia="Times New Roman"/>
          <w:color w:val="000000" w:themeColor="text1"/>
        </w:rPr>
      </w:pPr>
      <w:r w:rsidRPr="0092099A">
        <w:rPr>
          <w:rFonts w:eastAsia="Times New Roman"/>
          <w:color w:val="auto"/>
        </w:rPr>
        <w:t>A demanda consiste na</w:t>
      </w:r>
      <w:r>
        <w:rPr>
          <w:rFonts w:eastAsia="Times New Roman"/>
          <w:color w:val="auto"/>
        </w:rPr>
        <w:t xml:space="preserve"> contratação de</w:t>
      </w:r>
      <w:r w:rsidRPr="0092099A">
        <w:rPr>
          <w:rFonts w:eastAsia="Times New Roman"/>
          <w:color w:val="auto"/>
        </w:rPr>
        <w:t xml:space="preserve"> </w:t>
      </w:r>
      <w:r w:rsidRPr="0081773D">
        <w:rPr>
          <w:rFonts w:eastAsia="Times New Roman"/>
          <w:color w:val="auto"/>
        </w:rPr>
        <w:t>consultoria técnica especializada na proposição de solução para futura implantação do parque audiovisual da futura sede própria do CNMP.</w:t>
      </w:r>
    </w:p>
    <w:p w14:paraId="1742EB9F" w14:textId="77777777" w:rsidR="0018128D" w:rsidRPr="00966F30" w:rsidRDefault="0018128D" w:rsidP="0018128D">
      <w:pPr>
        <w:pStyle w:val="Default"/>
        <w:numPr>
          <w:ilvl w:val="2"/>
          <w:numId w:val="27"/>
        </w:numPr>
        <w:spacing w:line="360" w:lineRule="auto"/>
        <w:ind w:left="0" w:firstLine="0"/>
        <w:jc w:val="both"/>
        <w:rPr>
          <w:rFonts w:eastAsia="Times New Roman"/>
          <w:color w:val="000000" w:themeColor="text1"/>
        </w:rPr>
      </w:pPr>
      <w:r w:rsidRPr="0092099A">
        <w:rPr>
          <w:rFonts w:eastAsia="Times New Roman"/>
          <w:color w:val="000000" w:themeColor="text1"/>
        </w:rPr>
        <w:t xml:space="preserve">Conforme previsto no Acordo de Cooperação Técnica e Administrativa (SEI nº 0646541), presente no processo CNMP SEI nº 19.00.5500.0002569/2022-53, entre o Conselho Nacional do Ministério Público – CNMP e o Ministério Público do Distrito Federal e Territórios - MPDFT, as atividades desenvolvidas pela equipe de projetistas do MPDFT não contempla </w:t>
      </w:r>
      <w:r>
        <w:rPr>
          <w:rFonts w:eastAsia="Times New Roman"/>
          <w:color w:val="000000" w:themeColor="text1"/>
        </w:rPr>
        <w:t>o desenvolvimento de soluções de audiovisual</w:t>
      </w:r>
      <w:r w:rsidRPr="0092099A">
        <w:rPr>
          <w:rFonts w:eastAsia="Times New Roman"/>
          <w:color w:val="000000" w:themeColor="text1"/>
        </w:rPr>
        <w:t>, sendo necessário a contratação de consultoria especializada para tratar desse tema</w:t>
      </w:r>
      <w:r>
        <w:rPr>
          <w:rFonts w:eastAsia="Times New Roman"/>
          <w:color w:val="000000" w:themeColor="text1"/>
        </w:rPr>
        <w:t>.</w:t>
      </w:r>
    </w:p>
    <w:p w14:paraId="7D5603FB" w14:textId="77777777" w:rsidR="0018128D" w:rsidRPr="0092099A" w:rsidRDefault="0018128D" w:rsidP="0018128D">
      <w:pPr>
        <w:pStyle w:val="Default"/>
        <w:numPr>
          <w:ilvl w:val="2"/>
          <w:numId w:val="27"/>
        </w:numPr>
        <w:spacing w:line="360" w:lineRule="auto"/>
        <w:ind w:left="0" w:firstLine="0"/>
        <w:jc w:val="both"/>
        <w:rPr>
          <w:rFonts w:eastAsia="Times New Roman"/>
          <w:color w:val="000000" w:themeColor="text1"/>
        </w:rPr>
      </w:pPr>
      <w:r w:rsidRPr="0092099A">
        <w:rPr>
          <w:rFonts w:eastAsia="Times New Roman"/>
          <w:color w:val="auto"/>
        </w:rPr>
        <w:t xml:space="preserve">A consultoria em </w:t>
      </w:r>
      <w:r>
        <w:rPr>
          <w:rFonts w:eastAsia="Times New Roman"/>
          <w:color w:val="auto"/>
        </w:rPr>
        <w:t>audiovisual</w:t>
      </w:r>
      <w:r w:rsidRPr="0092099A">
        <w:rPr>
          <w:rFonts w:eastAsia="Times New Roman"/>
          <w:color w:val="auto"/>
        </w:rPr>
        <w:t xml:space="preserve"> é imprescindível</w:t>
      </w:r>
      <w:r w:rsidRPr="00FC6782">
        <w:t xml:space="preserve"> </w:t>
      </w:r>
      <w:r w:rsidRPr="00FC6782">
        <w:rPr>
          <w:rFonts w:eastAsia="Times New Roman"/>
          <w:color w:val="auto"/>
        </w:rPr>
        <w:t>para se definir o parque audiovisual necessário para a realização das atividades do CNMP, bem como para garantir que os ambientes estejam aptos a receber os equipamentos de áudio e vídeo propostos, bem como, o prédio como um todo, apto a receber todas as instalações de infraestrutura necessárias, incluindo a intercomunicação entre os ambientes e disponibilização dos sinais audiovisuais nos locais requeridos dentro da edificação a ser construída. Também contempla integração com a consultoria de acústica, visando a completa adequação da solução a ser proposta da parte de áudio com as características físicas dos ambientes em termos de desempenho acústico</w:t>
      </w:r>
      <w:r w:rsidRPr="0092099A">
        <w:rPr>
          <w:rFonts w:eastAsia="Times New Roman"/>
          <w:color w:val="auto"/>
        </w:rPr>
        <w:t>.</w:t>
      </w:r>
    </w:p>
    <w:p w14:paraId="67E3B07D" w14:textId="77777777" w:rsidR="0018128D" w:rsidRPr="00FC6782" w:rsidRDefault="0018128D" w:rsidP="0018128D">
      <w:pPr>
        <w:pStyle w:val="Default"/>
        <w:numPr>
          <w:ilvl w:val="2"/>
          <w:numId w:val="27"/>
        </w:numPr>
        <w:spacing w:line="360" w:lineRule="auto"/>
        <w:ind w:left="0" w:firstLine="0"/>
        <w:jc w:val="both"/>
        <w:rPr>
          <w:rFonts w:eastAsia="Times New Roman"/>
          <w:color w:val="000000" w:themeColor="text1"/>
        </w:rPr>
      </w:pPr>
      <w:r w:rsidRPr="00FC6782">
        <w:t>Salienta-se que a não consideração de estudos técnicos e de soluções especializadas em audiovisual ainda na etapa do desenvolvimento dos projetos e, no caso particular do áudio, alinhado com as propriedades acústicas dos ambientes, acarreta na construção da edificação com ambientes e infraestrutura inadequados para os fins aos quais se destinam. Sendo muito mais oneroso a correção dos problemas com a obra pronta, do que se já previamente previsto e planejado e as soluções incorporadas no decorrer da própria construção</w:t>
      </w:r>
      <w:r>
        <w:t>.</w:t>
      </w:r>
    </w:p>
    <w:p w14:paraId="24F69270" w14:textId="77777777" w:rsidR="0018128D" w:rsidRPr="00F56FBA" w:rsidRDefault="0018128D" w:rsidP="0018128D">
      <w:pPr>
        <w:pStyle w:val="Default"/>
        <w:numPr>
          <w:ilvl w:val="2"/>
          <w:numId w:val="27"/>
        </w:numPr>
        <w:spacing w:line="360" w:lineRule="auto"/>
        <w:ind w:left="0" w:firstLine="0"/>
        <w:jc w:val="both"/>
        <w:rPr>
          <w:rFonts w:eastAsia="Times New Roman"/>
          <w:color w:val="auto"/>
        </w:rPr>
      </w:pPr>
      <w:r w:rsidRPr="00F56FBA">
        <w:rPr>
          <w:rFonts w:eastAsia="Times New Roman"/>
          <w:color w:val="auto"/>
        </w:rPr>
        <w:t>A consultoria será contratada como item único, sem parcelamentos, visto que tecnicamente não convém o seu desmembramento em razão de compor um conjunto atividades interrelacionadas e interdependentes.</w:t>
      </w:r>
    </w:p>
    <w:p w14:paraId="225CA32A" w14:textId="77777777" w:rsidR="0018128D" w:rsidRPr="00966F30" w:rsidRDefault="0018128D" w:rsidP="0018128D">
      <w:pPr>
        <w:pStyle w:val="PargrafodaLista"/>
        <w:numPr>
          <w:ilvl w:val="1"/>
          <w:numId w:val="27"/>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Da Conexão Entre a Contratação e o Planejamento Existente</w:t>
      </w:r>
    </w:p>
    <w:p w14:paraId="56EC38E1" w14:textId="77777777" w:rsidR="0018128D" w:rsidRPr="00966F30" w:rsidRDefault="0018128D" w:rsidP="0018128D">
      <w:pPr>
        <w:pStyle w:val="PargrafodaLista"/>
        <w:numPr>
          <w:ilvl w:val="2"/>
          <w:numId w:val="27"/>
        </w:numPr>
        <w:spacing w:line="360" w:lineRule="auto"/>
        <w:ind w:left="0" w:firstLine="0"/>
        <w:jc w:val="both"/>
        <w:rPr>
          <w:rFonts w:ascii="Times New Roman" w:eastAsia="Times New Roman" w:hAnsi="Times New Roman" w:cs="Times New Roman"/>
        </w:rPr>
      </w:pPr>
      <w:r w:rsidRPr="00966F30">
        <w:rPr>
          <w:rFonts w:ascii="Times New Roman" w:hAnsi="Times New Roman" w:cs="Times New Roman"/>
        </w:rPr>
        <w:t xml:space="preserve">A presente contratação está </w:t>
      </w:r>
      <w:r>
        <w:rPr>
          <w:rFonts w:ascii="Times New Roman" w:hAnsi="Times New Roman" w:cs="Times New Roman"/>
        </w:rPr>
        <w:t xml:space="preserve">atrelada à ação </w:t>
      </w:r>
      <w:r w:rsidRPr="00FC6782">
        <w:rPr>
          <w:rFonts w:ascii="Times New Roman" w:hAnsi="Times New Roman" w:cs="Times New Roman"/>
        </w:rPr>
        <w:t xml:space="preserve">PG_23_COENG_035 </w:t>
      </w:r>
      <w:r>
        <w:rPr>
          <w:rFonts w:ascii="Times New Roman" w:hAnsi="Times New Roman" w:cs="Times New Roman"/>
        </w:rPr>
        <w:t>“</w:t>
      </w:r>
      <w:r w:rsidRPr="00FC6782">
        <w:rPr>
          <w:rFonts w:ascii="Times New Roman" w:hAnsi="Times New Roman" w:cs="Times New Roman"/>
        </w:rPr>
        <w:t>Consultoria técnica ao MPDFT para elaboração do projeto da sede própria do CNMP: Sistema Audiovisual</w:t>
      </w:r>
      <w:r>
        <w:rPr>
          <w:rFonts w:ascii="Times New Roman" w:hAnsi="Times New Roman" w:cs="Times New Roman"/>
        </w:rPr>
        <w:t>”</w:t>
      </w:r>
      <w:r w:rsidRPr="00F56FBA">
        <w:rPr>
          <w:rFonts w:ascii="Times New Roman" w:hAnsi="Times New Roman" w:cs="Times New Roman"/>
        </w:rPr>
        <w:t>, inserida no Plano de Gestão para o exercício de 2023</w:t>
      </w:r>
      <w:r>
        <w:rPr>
          <w:rFonts w:ascii="Times New Roman" w:hAnsi="Times New Roman" w:cs="Times New Roman"/>
        </w:rPr>
        <w:t>.</w:t>
      </w:r>
    </w:p>
    <w:p w14:paraId="3F4EF98A" w14:textId="77777777" w:rsidR="0018128D" w:rsidRPr="00F56FBA" w:rsidRDefault="0018128D" w:rsidP="0018128D">
      <w:pPr>
        <w:pStyle w:val="PargrafodaLista"/>
        <w:numPr>
          <w:ilvl w:val="1"/>
          <w:numId w:val="27"/>
        </w:numPr>
        <w:spacing w:line="360" w:lineRule="auto"/>
        <w:ind w:left="0" w:firstLine="0"/>
        <w:jc w:val="both"/>
        <w:rPr>
          <w:rFonts w:ascii="Times New Roman" w:eastAsia="Times New Roman" w:hAnsi="Times New Roman" w:cs="Times New Roman"/>
          <w:b/>
          <w:bCs/>
        </w:rPr>
      </w:pPr>
      <w:r w:rsidRPr="00F56FBA">
        <w:rPr>
          <w:rFonts w:ascii="Times New Roman" w:hAnsi="Times New Roman" w:cs="Times New Roman"/>
          <w:b/>
          <w:bCs/>
        </w:rPr>
        <w:t xml:space="preserve">Da Ausência de Critérios de Sustentabilidade </w:t>
      </w:r>
    </w:p>
    <w:p w14:paraId="53C7E8E4" w14:textId="77777777" w:rsidR="0018128D" w:rsidRPr="00F56FBA" w:rsidRDefault="0018128D" w:rsidP="0018128D">
      <w:pPr>
        <w:pStyle w:val="PargrafodaLista"/>
        <w:numPr>
          <w:ilvl w:val="2"/>
          <w:numId w:val="27"/>
        </w:numPr>
        <w:spacing w:line="360" w:lineRule="auto"/>
        <w:ind w:left="0" w:firstLine="0"/>
        <w:jc w:val="both"/>
        <w:rPr>
          <w:rFonts w:ascii="Times New Roman" w:eastAsia="Times New Roman" w:hAnsi="Times New Roman" w:cs="Times New Roman"/>
        </w:rPr>
      </w:pPr>
      <w:r w:rsidRPr="00F56FBA">
        <w:rPr>
          <w:rFonts w:ascii="Times New Roman" w:eastAsia="Times New Roman" w:hAnsi="Times New Roman" w:cs="Times New Roman"/>
        </w:rPr>
        <w:t>Em razão da natureza da prestação dos serviços – Prestação de Serviços de Consultoria Técnica, não se aplica a adoção de critérios e práticas de sustentabilidade na contratação em questão.</w:t>
      </w:r>
    </w:p>
    <w:p w14:paraId="373E50CA" w14:textId="77777777" w:rsidR="0018128D" w:rsidRPr="00966F30" w:rsidRDefault="0018128D" w:rsidP="0018128D">
      <w:pPr>
        <w:pStyle w:val="PargrafodaLista"/>
        <w:numPr>
          <w:ilvl w:val="1"/>
          <w:numId w:val="27"/>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t xml:space="preserve">Da Inexigibilidade ou da Dispensa de Licitação </w:t>
      </w:r>
    </w:p>
    <w:p w14:paraId="6CAE26AD" w14:textId="77777777" w:rsidR="0018128D" w:rsidRPr="00226E02" w:rsidRDefault="0018128D" w:rsidP="0018128D">
      <w:pPr>
        <w:pStyle w:val="PargrafodaLista"/>
        <w:numPr>
          <w:ilvl w:val="2"/>
          <w:numId w:val="27"/>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D</w:t>
      </w:r>
      <w:r w:rsidRPr="001A6014">
        <w:rPr>
          <w:rFonts w:ascii="Times New Roman" w:eastAsia="Times New Roman" w:hAnsi="Times New Roman" w:cs="Times New Roman"/>
        </w:rPr>
        <w:t xml:space="preserve">e acordo com </w:t>
      </w:r>
      <w:r>
        <w:rPr>
          <w:rFonts w:ascii="Times New Roman" w:eastAsia="Times New Roman" w:hAnsi="Times New Roman" w:cs="Times New Roman"/>
        </w:rPr>
        <w:t>o previsto no inciso I do</w:t>
      </w:r>
      <w:r w:rsidRPr="001A6014">
        <w:rPr>
          <w:rFonts w:ascii="Times New Roman" w:eastAsia="Times New Roman" w:hAnsi="Times New Roman" w:cs="Times New Roman"/>
        </w:rPr>
        <w:t xml:space="preserve"> artigo 75 da Lei 14.133/2021</w:t>
      </w:r>
      <w:r>
        <w:rPr>
          <w:rFonts w:ascii="Times New Roman" w:eastAsia="Times New Roman" w:hAnsi="Times New Roman" w:cs="Times New Roman"/>
        </w:rPr>
        <w:t>: “</w:t>
      </w:r>
      <w:r w:rsidRPr="00226E02">
        <w:rPr>
          <w:rFonts w:ascii="Times New Roman" w:eastAsia="Times New Roman" w:hAnsi="Times New Roman" w:cs="Times New Roman"/>
          <w:i/>
          <w:iCs/>
        </w:rPr>
        <w:t>É dispensável a licitação para contratação que envolva valores inferiores a R$ 100.000,00 (cem mil reais), no caso de obras e serviços de engenharia ou de serviços de manutenção de veículos automotores</w:t>
      </w:r>
      <w:r>
        <w:rPr>
          <w:rFonts w:ascii="Times New Roman" w:eastAsia="Times New Roman" w:hAnsi="Times New Roman" w:cs="Times New Roman"/>
          <w:i/>
          <w:iCs/>
        </w:rPr>
        <w:t>”</w:t>
      </w:r>
      <w:r w:rsidRPr="6E268448">
        <w:rPr>
          <w:rFonts w:ascii="Times New Roman" w:eastAsia="Times New Roman" w:hAnsi="Times New Roman" w:cs="Times New Roman"/>
        </w:rPr>
        <w:t>.</w:t>
      </w:r>
    </w:p>
    <w:p w14:paraId="700EBE1F" w14:textId="77777777" w:rsidR="0018128D" w:rsidRPr="00C275FA" w:rsidRDefault="0018128D" w:rsidP="0018128D">
      <w:pPr>
        <w:pStyle w:val="Default"/>
        <w:spacing w:line="360" w:lineRule="auto"/>
        <w:ind w:firstLine="720"/>
        <w:jc w:val="both"/>
        <w:rPr>
          <w:rFonts w:eastAsia="Times New Roman"/>
          <w:color w:val="auto"/>
        </w:rPr>
      </w:pPr>
    </w:p>
    <w:p w14:paraId="00A08E19"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2A77F8AD" w14:textId="77777777" w:rsidR="0018128D" w:rsidRPr="00A34E98"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Contratação de consultoria técnica especializada na proposição de solução para futura implantação do parque audiovisual da futura sede própria do CNMP. O serviço contempla análise do projeto básico arquitetônico desenvolvido para a construção da futura sede própria do CNMP, com análise dos ambientes destinados a receber os equipamentos audiovisuais e o desenvolvimento de soluções para aparelhar os ambientes de modo a disponibilizar os recursos audiovisuais necessários para a execução das atividades do CNMP</w:t>
      </w:r>
      <w:r>
        <w:rPr>
          <w:rFonts w:eastAsia="Times New Roman"/>
          <w:color w:val="auto"/>
        </w:rPr>
        <w:t>. Deverão ser entregues os produtos relativos ao Levantamento dos Requisitos, ao Estudo de Viabilidade e ao Anteprojeto e seu detalhamento.</w:t>
      </w:r>
    </w:p>
    <w:p w14:paraId="578BC30A"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Os tipos de ambientes que devem ser contemplados na análise são os elencados a seguir</w:t>
      </w:r>
      <w:r>
        <w:rPr>
          <w:rFonts w:eastAsia="Times New Roman"/>
          <w:color w:val="auto"/>
        </w:rPr>
        <w:t>:</w:t>
      </w:r>
    </w:p>
    <w:p w14:paraId="27C632D5" w14:textId="77777777" w:rsidR="0018128D" w:rsidRPr="00A34E98" w:rsidRDefault="0018128D" w:rsidP="0018128D">
      <w:pPr>
        <w:pStyle w:val="Default"/>
        <w:numPr>
          <w:ilvl w:val="2"/>
          <w:numId w:val="27"/>
        </w:numPr>
        <w:spacing w:line="360" w:lineRule="auto"/>
        <w:ind w:left="2160"/>
        <w:jc w:val="both"/>
        <w:rPr>
          <w:rFonts w:eastAsia="Times New Roman"/>
          <w:color w:val="auto"/>
        </w:rPr>
      </w:pPr>
      <w:r w:rsidRPr="00A34E98">
        <w:rPr>
          <w:rFonts w:eastAsia="Times New Roman"/>
          <w:color w:val="auto"/>
        </w:rPr>
        <w:t>Ambientes de Plenário</w:t>
      </w:r>
      <w:r>
        <w:rPr>
          <w:rFonts w:eastAsia="Times New Roman"/>
          <w:color w:val="auto"/>
        </w:rPr>
        <w:t xml:space="preserve"> (aproximadamente 700 m</w:t>
      </w:r>
      <w:r>
        <w:rPr>
          <w:rFonts w:eastAsia="Times New Roman"/>
          <w:color w:val="auto"/>
          <w:vertAlign w:val="superscript"/>
        </w:rPr>
        <w:t>2</w:t>
      </w:r>
      <w:r>
        <w:rPr>
          <w:rFonts w:eastAsia="Times New Roman"/>
          <w:color w:val="auto"/>
        </w:rPr>
        <w:t>),</w:t>
      </w:r>
      <w:r w:rsidRPr="00A34E98">
        <w:rPr>
          <w:rFonts w:eastAsia="Times New Roman"/>
          <w:color w:val="auto"/>
        </w:rPr>
        <w:t xml:space="preserve"> Auditório</w:t>
      </w:r>
      <w:r>
        <w:rPr>
          <w:rFonts w:eastAsia="Times New Roman"/>
          <w:color w:val="auto"/>
        </w:rPr>
        <w:t xml:space="preserve"> (aproximadamente 710 m</w:t>
      </w:r>
      <w:r>
        <w:rPr>
          <w:rFonts w:eastAsia="Times New Roman"/>
          <w:color w:val="auto"/>
          <w:vertAlign w:val="superscript"/>
        </w:rPr>
        <w:t>2</w:t>
      </w:r>
      <w:r>
        <w:rPr>
          <w:rFonts w:eastAsia="Times New Roman"/>
          <w:color w:val="auto"/>
        </w:rPr>
        <w:t>)</w:t>
      </w:r>
      <w:r w:rsidRPr="00A34E98">
        <w:rPr>
          <w:rFonts w:eastAsia="Times New Roman"/>
          <w:color w:val="auto"/>
        </w:rPr>
        <w:t xml:space="preserve"> e Estúdio</w:t>
      </w:r>
      <w:r>
        <w:rPr>
          <w:rFonts w:eastAsia="Times New Roman"/>
          <w:color w:val="auto"/>
        </w:rPr>
        <w:t xml:space="preserve"> (aproximadamente 50 m</w:t>
      </w:r>
      <w:r>
        <w:rPr>
          <w:rFonts w:eastAsia="Times New Roman"/>
          <w:color w:val="auto"/>
          <w:vertAlign w:val="superscript"/>
        </w:rPr>
        <w:t>2</w:t>
      </w:r>
      <w:r>
        <w:rPr>
          <w:rFonts w:eastAsia="Times New Roman"/>
          <w:color w:val="auto"/>
        </w:rPr>
        <w:t>)</w:t>
      </w:r>
      <w:r w:rsidRPr="00A34E98">
        <w:rPr>
          <w:rFonts w:eastAsia="Times New Roman"/>
          <w:color w:val="auto"/>
        </w:rPr>
        <w:t>: Constituem ambientes a serem equipados com sistemas audiovisuais cujas soluções devem ser compatibilizadas com as características acústicas dos respectivos ambientes e devem prover recursos para compartilhar os conteúdos de áudio e vídeo com demais ambientes providos com recursos audiovisuais.</w:t>
      </w:r>
    </w:p>
    <w:p w14:paraId="7998EF97" w14:textId="77777777" w:rsidR="0018128D" w:rsidRPr="00A34E98" w:rsidRDefault="0018128D" w:rsidP="0018128D">
      <w:pPr>
        <w:pStyle w:val="Default"/>
        <w:numPr>
          <w:ilvl w:val="2"/>
          <w:numId w:val="27"/>
        </w:numPr>
        <w:spacing w:line="360" w:lineRule="auto"/>
        <w:ind w:left="2160"/>
        <w:jc w:val="both"/>
        <w:rPr>
          <w:rFonts w:eastAsia="Times New Roman"/>
          <w:color w:val="auto"/>
        </w:rPr>
      </w:pPr>
      <w:r w:rsidRPr="00A34E98">
        <w:rPr>
          <w:rFonts w:eastAsia="Times New Roman"/>
          <w:color w:val="auto"/>
        </w:rPr>
        <w:t>Salas de reuniões distribuídas no térreo e 1º Pavimento</w:t>
      </w:r>
      <w:r>
        <w:rPr>
          <w:rFonts w:eastAsia="Times New Roman"/>
          <w:color w:val="auto"/>
        </w:rPr>
        <w:t xml:space="preserve"> (médias a grandes, aproximadamente de 19 a 40 m</w:t>
      </w:r>
      <w:r>
        <w:rPr>
          <w:rFonts w:eastAsia="Times New Roman"/>
          <w:color w:val="auto"/>
          <w:vertAlign w:val="superscript"/>
        </w:rPr>
        <w:t>2</w:t>
      </w:r>
      <w:r>
        <w:rPr>
          <w:rFonts w:eastAsia="Times New Roman"/>
          <w:color w:val="auto"/>
        </w:rPr>
        <w:t>)</w:t>
      </w:r>
      <w:r w:rsidRPr="00A34E98">
        <w:rPr>
          <w:rFonts w:eastAsia="Times New Roman"/>
          <w:color w:val="auto"/>
        </w:rPr>
        <w:t>: Devem contar com infraestrutura para receberem equipamentos audiovisuais e compartilharem os conteúdos de áudio e vídeo com os demais ambientes providos com recursos audiovisuais.</w:t>
      </w:r>
    </w:p>
    <w:p w14:paraId="7B2C685E" w14:textId="77777777" w:rsidR="0018128D" w:rsidRPr="00A34E98" w:rsidRDefault="0018128D" w:rsidP="0018128D">
      <w:pPr>
        <w:pStyle w:val="Default"/>
        <w:numPr>
          <w:ilvl w:val="2"/>
          <w:numId w:val="27"/>
        </w:numPr>
        <w:spacing w:line="360" w:lineRule="auto"/>
        <w:ind w:left="2160"/>
        <w:jc w:val="both"/>
        <w:rPr>
          <w:rFonts w:eastAsia="Times New Roman"/>
          <w:color w:val="auto"/>
        </w:rPr>
      </w:pPr>
      <w:r w:rsidRPr="00A34E98">
        <w:rPr>
          <w:rFonts w:eastAsia="Times New Roman"/>
          <w:color w:val="auto"/>
        </w:rPr>
        <w:t xml:space="preserve">Locais específicos em áreas comuns ou de circulação (internas ou externas) que devem receber conteúdo selecionado e integrado ao sistema audiovisual do CNMP. </w:t>
      </w:r>
    </w:p>
    <w:p w14:paraId="71ACC95E" w14:textId="77777777" w:rsidR="0018128D" w:rsidRDefault="0018128D" w:rsidP="0018128D">
      <w:pPr>
        <w:pStyle w:val="Default"/>
        <w:numPr>
          <w:ilvl w:val="2"/>
          <w:numId w:val="27"/>
        </w:numPr>
        <w:spacing w:line="360" w:lineRule="auto"/>
        <w:ind w:left="2160"/>
        <w:jc w:val="both"/>
        <w:rPr>
          <w:rFonts w:eastAsia="Times New Roman"/>
          <w:color w:val="auto"/>
        </w:rPr>
      </w:pPr>
      <w:r w:rsidRPr="00A34E98">
        <w:rPr>
          <w:rFonts w:eastAsia="Times New Roman"/>
          <w:color w:val="auto"/>
        </w:rPr>
        <w:t>Gabinetes de autoridades e outros locais de acesso restrito que devem receber ou enviar conteúdo selecionado ao sistema audiovisual do CNMP.</w:t>
      </w:r>
    </w:p>
    <w:p w14:paraId="0CB618A8"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 xml:space="preserve">O projeto deve prever um </w:t>
      </w:r>
      <w:r w:rsidRPr="00B22524">
        <w:rPr>
          <w:rFonts w:eastAsia="Times New Roman"/>
          <w:color w:val="auto"/>
        </w:rPr>
        <w:t>horizonte mínimo de 05 anos em relação</w:t>
      </w:r>
      <w:r w:rsidRPr="00A34E98">
        <w:rPr>
          <w:rFonts w:eastAsia="Times New Roman"/>
          <w:color w:val="auto"/>
        </w:rPr>
        <w:t xml:space="preserve"> às tecnologias a serem empregadas, visto o considerável lapso temporal entre a elaboração dos projetos até a efetiva conclusão e instalação dos equipamentos e o próprio período de utilização da estrutura audiovisual.</w:t>
      </w:r>
    </w:p>
    <w:p w14:paraId="40DCA219"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Deve também considerar a capacidade de renovação e escalonamento dentro da mesma infraestrutura, de modo a possibilitar a implantação da solução após a obra concluída em etapas.</w:t>
      </w:r>
    </w:p>
    <w:p w14:paraId="6B437458"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 xml:space="preserve">A solução deve considerar a melhor relação custo-benefício de forma que atenda </w:t>
      </w:r>
      <w:r>
        <w:rPr>
          <w:rFonts w:eastAsia="Times New Roman"/>
          <w:color w:val="auto"/>
        </w:rPr>
        <w:t>a</w:t>
      </w:r>
      <w:r w:rsidRPr="00A34E98">
        <w:rPr>
          <w:rFonts w:eastAsia="Times New Roman"/>
          <w:color w:val="auto"/>
        </w:rPr>
        <w:t xml:space="preserve">o volume e </w:t>
      </w:r>
      <w:r>
        <w:rPr>
          <w:rFonts w:eastAsia="Times New Roman"/>
          <w:color w:val="auto"/>
        </w:rPr>
        <w:t xml:space="preserve">à </w:t>
      </w:r>
      <w:r w:rsidRPr="00A34E98">
        <w:rPr>
          <w:rFonts w:eastAsia="Times New Roman"/>
          <w:color w:val="auto"/>
        </w:rPr>
        <w:t>qualidade de produção com boa técnica a um custo adequado.</w:t>
      </w:r>
    </w:p>
    <w:p w14:paraId="15D336F4"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A solução deve também se atentar ao futuro custo de manutenção que deve ser minimizado com a escolha de soluções robustas e confiáveis, e com obsolescência compatível com a vida útil prevista para a solução</w:t>
      </w:r>
      <w:r>
        <w:rPr>
          <w:rFonts w:eastAsia="Times New Roman"/>
          <w:color w:val="auto"/>
        </w:rPr>
        <w:t>.</w:t>
      </w:r>
    </w:p>
    <w:p w14:paraId="62EFE02B"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Dada a condição de alta criticidade quanto à falha na geração de conteúdos audiovisuais principalmente em grandes eventos e durante a realização de Sessões Plenárias, no caso do CNMP, a solução deve prever redundância para os sistemas e equipamentos críticos de modo a aumentar a confiabilidade da solução e o índice de disponibilidade, além de ser avaliado o plano de manutenção necessário para promover tal condição.</w:t>
      </w:r>
    </w:p>
    <w:p w14:paraId="2777ADEF"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Como premissa, devem ser atendidos requisitos de padronização, intercambialidade para utilização do mesmo tipo de equipamento em diferentes ambientes, escalonamento, redução de ativos de manutenção e otimização de custos de implantação e de substituição de componentes</w:t>
      </w:r>
      <w:r>
        <w:rPr>
          <w:rFonts w:eastAsia="Times New Roman"/>
          <w:color w:val="auto"/>
        </w:rPr>
        <w:t>.</w:t>
      </w:r>
    </w:p>
    <w:p w14:paraId="35587B46"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 xml:space="preserve">Os elementos de infraestrutura devem ser otimizados para reduzir caminhos, facilitar a montagem e a posterior manutenção, além de facilitar o acesso e prever espaço para futuras ampliações. </w:t>
      </w:r>
    </w:p>
    <w:p w14:paraId="1E7DF0EB"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A34E98">
        <w:rPr>
          <w:rFonts w:eastAsia="Times New Roman"/>
          <w:color w:val="auto"/>
        </w:rPr>
        <w:t xml:space="preserve">A solução </w:t>
      </w:r>
      <w:r w:rsidRPr="00B22524">
        <w:rPr>
          <w:rFonts w:eastAsia="Times New Roman"/>
          <w:color w:val="auto"/>
        </w:rPr>
        <w:t>deve prover a captura de áudio e vídeo e a sua difusão nos ambientes, bem como possibilitar a transmissão dos conteúdos nas plataformas digitais e o respectivo armazenamento de modo a propiciar acesso tanto</w:t>
      </w:r>
      <w:r w:rsidRPr="00A34E98">
        <w:rPr>
          <w:rFonts w:eastAsia="Times New Roman"/>
          <w:color w:val="auto"/>
        </w:rPr>
        <w:t xml:space="preserve"> síncrono quanto assíncrono às mídias produzidas.</w:t>
      </w:r>
    </w:p>
    <w:p w14:paraId="60901B98" w14:textId="77777777" w:rsidR="0018128D" w:rsidRPr="00B22524" w:rsidRDefault="0018128D" w:rsidP="0018128D">
      <w:pPr>
        <w:pStyle w:val="Default"/>
        <w:numPr>
          <w:ilvl w:val="1"/>
          <w:numId w:val="27"/>
        </w:numPr>
        <w:spacing w:line="360" w:lineRule="auto"/>
        <w:ind w:left="0" w:firstLine="0"/>
        <w:jc w:val="both"/>
        <w:rPr>
          <w:rFonts w:eastAsia="Times New Roman"/>
          <w:color w:val="auto"/>
        </w:rPr>
      </w:pPr>
      <w:r w:rsidRPr="00B22524">
        <w:rPr>
          <w:rFonts w:eastAsia="Times New Roman"/>
          <w:color w:val="auto"/>
        </w:rPr>
        <w:t>Recursos de inteligência artificial IA, como contagem de pessoas, reconhecimento facial, speaker tracking, enquadramento automático, tradução simultânea, indexação das gravações etc., deverão ser considerados para facilitar a operação do sistema, minimizando custos na operação, além de agregar à solução funcionalidades adicionais que propiciem maior qualidade da produção e facilidades aos próprios usuários, bem como redução de falhas operacionais.</w:t>
      </w:r>
    </w:p>
    <w:p w14:paraId="137F8737" w14:textId="77777777" w:rsidR="0018128D" w:rsidRPr="00B22524" w:rsidRDefault="0018128D" w:rsidP="0018128D">
      <w:pPr>
        <w:pStyle w:val="Default"/>
        <w:numPr>
          <w:ilvl w:val="1"/>
          <w:numId w:val="27"/>
        </w:numPr>
        <w:spacing w:line="360" w:lineRule="auto"/>
        <w:ind w:left="0" w:firstLine="0"/>
        <w:jc w:val="both"/>
        <w:rPr>
          <w:rFonts w:eastAsia="Times New Roman"/>
          <w:color w:val="auto"/>
        </w:rPr>
      </w:pPr>
      <w:r w:rsidRPr="00B22524">
        <w:rPr>
          <w:rFonts w:eastAsia="Times New Roman"/>
          <w:color w:val="auto"/>
        </w:rPr>
        <w:t>Os serviços devem contemplar a quantidade de reuniões necessárias</w:t>
      </w:r>
      <w:r>
        <w:rPr>
          <w:rFonts w:eastAsia="Times New Roman"/>
          <w:color w:val="auto"/>
        </w:rPr>
        <w:t>,</w:t>
      </w:r>
      <w:r w:rsidRPr="00B22524">
        <w:rPr>
          <w:rFonts w:eastAsia="Times New Roman"/>
          <w:color w:val="auto"/>
        </w:rPr>
        <w:t xml:space="preserve"> </w:t>
      </w:r>
      <w:r w:rsidRPr="00AE0018">
        <w:rPr>
          <w:rFonts w:eastAsia="Times New Roman"/>
          <w:color w:val="auto"/>
        </w:rPr>
        <w:t xml:space="preserve">incluindo reuniões/vistorias presenciais, para a troca de informações com a CONTRATANTE e/ou projetistas </w:t>
      </w:r>
      <w:r w:rsidRPr="00B22524">
        <w:rPr>
          <w:rFonts w:eastAsia="Times New Roman"/>
          <w:color w:val="auto"/>
        </w:rPr>
        <w:t xml:space="preserve">e, </w:t>
      </w:r>
      <w:r>
        <w:rPr>
          <w:rFonts w:eastAsia="Times New Roman"/>
          <w:color w:val="auto"/>
        </w:rPr>
        <w:t>quando necessário</w:t>
      </w:r>
      <w:r w:rsidRPr="00B22524">
        <w:rPr>
          <w:rFonts w:eastAsia="Times New Roman"/>
          <w:color w:val="auto"/>
        </w:rPr>
        <w:t xml:space="preserve">, </w:t>
      </w:r>
      <w:r>
        <w:rPr>
          <w:rFonts w:eastAsia="Times New Roman"/>
          <w:color w:val="auto"/>
        </w:rPr>
        <w:t xml:space="preserve">com </w:t>
      </w:r>
      <w:r w:rsidRPr="00B22524">
        <w:rPr>
          <w:rFonts w:eastAsia="Times New Roman"/>
          <w:color w:val="auto"/>
        </w:rPr>
        <w:t xml:space="preserve">outros profissionais envolvidos nas especificações das soluções, como na integração com as soluções de acústica dos ambientes. </w:t>
      </w:r>
    </w:p>
    <w:p w14:paraId="1E72F929" w14:textId="77777777" w:rsidR="0018128D" w:rsidRDefault="0018128D" w:rsidP="0018128D">
      <w:pPr>
        <w:pStyle w:val="Default"/>
        <w:numPr>
          <w:ilvl w:val="2"/>
          <w:numId w:val="27"/>
        </w:numPr>
        <w:spacing w:line="360" w:lineRule="auto"/>
        <w:ind w:left="2160"/>
        <w:jc w:val="both"/>
        <w:rPr>
          <w:rFonts w:eastAsia="Times New Roman"/>
          <w:color w:val="auto"/>
        </w:rPr>
      </w:pPr>
      <w:r w:rsidRPr="00044946">
        <w:rPr>
          <w:rFonts w:eastAsia="Times New Roman"/>
          <w:color w:val="auto"/>
        </w:rPr>
        <w:t>Como resultado dessa etapa, deverá ser apresentado relatório da avaliação prévia realizada, com o registro do resultado das reuniões e mapeamento dos ambientes a serem contemplados, com o registro dos requisitos a serem satisfeitos e os recursos audiovisuais que cada ambiente deve prover.</w:t>
      </w:r>
    </w:p>
    <w:p w14:paraId="3BCD6BDE"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044946">
        <w:rPr>
          <w:rFonts w:eastAsia="Times New Roman"/>
          <w:color w:val="auto"/>
        </w:rPr>
        <w:t>Deverão ser realizados os estudos para concepção das soluções que atendam aos requisitos levantados, e realizado a análise técnico financeira da solução, apresentando o relatório com o resultado dos estudos.</w:t>
      </w:r>
    </w:p>
    <w:p w14:paraId="52AFF28C" w14:textId="77777777" w:rsidR="0018128D" w:rsidRPr="00722D62" w:rsidRDefault="0018128D" w:rsidP="0018128D">
      <w:pPr>
        <w:pStyle w:val="Default"/>
        <w:numPr>
          <w:ilvl w:val="1"/>
          <w:numId w:val="27"/>
        </w:numPr>
        <w:spacing w:line="360" w:lineRule="auto"/>
        <w:ind w:left="0" w:firstLine="0"/>
        <w:jc w:val="both"/>
        <w:rPr>
          <w:rFonts w:eastAsia="Times New Roman"/>
          <w:color w:val="auto"/>
        </w:rPr>
      </w:pPr>
      <w:r w:rsidRPr="00044946">
        <w:rPr>
          <w:rFonts w:eastAsia="Times New Roman"/>
          <w:color w:val="auto"/>
        </w:rPr>
        <w:t xml:space="preserve">A documentação a ser entregue do projeto deverá descrever a topologia da solução, com a previsão de implantação </w:t>
      </w:r>
      <w:r w:rsidRPr="00B22524">
        <w:rPr>
          <w:rFonts w:eastAsia="Times New Roman"/>
          <w:color w:val="auto"/>
        </w:rPr>
        <w:t>escalonada, diagramas de bloco, interligações, descrição dos equipamentos e tecnologias previstas, e apresentar as informações necessárias a serem adotadas como pré-requisitos para nortear a elaboração dos documentos licitatórios para a contratação do projeto executivo, da etapa da fase de implantação da solução, quando a obra estiver em conclusão.</w:t>
      </w:r>
    </w:p>
    <w:p w14:paraId="42F8C8F7" w14:textId="77777777" w:rsidR="0018128D" w:rsidRPr="008A0850" w:rsidRDefault="0018128D" w:rsidP="0018128D">
      <w:pPr>
        <w:spacing w:line="360" w:lineRule="auto"/>
        <w:jc w:val="both"/>
        <w:rPr>
          <w:rFonts w:ascii="Times New Roman" w:eastAsia="Times New Roman" w:hAnsi="Times New Roman" w:cs="Times New Roman"/>
          <w:color w:val="FF0000"/>
        </w:rPr>
      </w:pPr>
    </w:p>
    <w:p w14:paraId="5D4278FB"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5A281970"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4E79D129">
        <w:rPr>
          <w:rFonts w:eastAsia="Times New Roman"/>
          <w:color w:val="auto"/>
        </w:rPr>
        <w:t>Os recursos dessa contratação estão consignados no orçamento da União para 20</w:t>
      </w:r>
      <w:r>
        <w:rPr>
          <w:rFonts w:eastAsia="Times New Roman"/>
          <w:color w:val="auto"/>
        </w:rPr>
        <w:t>23</w:t>
      </w:r>
      <w:r w:rsidRPr="4E79D129">
        <w:rPr>
          <w:rFonts w:eastAsia="Times New Roman"/>
          <w:color w:val="auto"/>
        </w:rPr>
        <w:t>, no Plano Interno</w:t>
      </w:r>
      <w:r>
        <w:rPr>
          <w:rFonts w:eastAsia="Times New Roman"/>
          <w:color w:val="auto"/>
        </w:rPr>
        <w:t xml:space="preserve"> </w:t>
      </w:r>
      <w:r>
        <w:t>23COENG35</w:t>
      </w:r>
      <w:r w:rsidRPr="4E79D129">
        <w:rPr>
          <w:rFonts w:eastAsia="Times New Roman"/>
          <w:color w:val="auto"/>
        </w:rPr>
        <w:t xml:space="preserve">, PTRES </w:t>
      </w:r>
      <w:r>
        <w:t>195212</w:t>
      </w:r>
      <w:r>
        <w:rPr>
          <w:rFonts w:eastAsia="Times New Roman"/>
          <w:color w:val="auto"/>
        </w:rPr>
        <w:t xml:space="preserve"> </w:t>
      </w:r>
      <w:r w:rsidRPr="4E79D129">
        <w:rPr>
          <w:rFonts w:eastAsia="Times New Roman"/>
          <w:color w:val="auto"/>
        </w:rPr>
        <w:t>e Natureza de Despesa</w:t>
      </w:r>
      <w:r>
        <w:rPr>
          <w:rFonts w:eastAsia="Times New Roman"/>
          <w:color w:val="auto"/>
        </w:rPr>
        <w:t xml:space="preserve"> </w:t>
      </w:r>
      <w:r w:rsidRPr="4E79D129">
        <w:rPr>
          <w:rFonts w:eastAsia="Times New Roman"/>
          <w:color w:val="auto"/>
        </w:rPr>
        <w:t xml:space="preserve"> </w:t>
      </w:r>
      <w:r>
        <w:t>3.3.90.35.00.</w:t>
      </w:r>
    </w:p>
    <w:p w14:paraId="4F64B8E0" w14:textId="77777777" w:rsidR="0018128D" w:rsidRPr="00C275FA" w:rsidRDefault="0018128D" w:rsidP="0018128D">
      <w:pPr>
        <w:pStyle w:val="Default"/>
        <w:spacing w:line="360" w:lineRule="auto"/>
        <w:jc w:val="both"/>
        <w:rPr>
          <w:rFonts w:eastAsia="Times New Roman"/>
          <w:color w:val="auto"/>
        </w:rPr>
      </w:pPr>
    </w:p>
    <w:p w14:paraId="66154563" w14:textId="77777777" w:rsidR="0018128D" w:rsidRPr="006A7800" w:rsidRDefault="0018128D" w:rsidP="0018128D">
      <w:pPr>
        <w:pStyle w:val="Default"/>
        <w:numPr>
          <w:ilvl w:val="0"/>
          <w:numId w:val="27"/>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 xml:space="preserve">VIGÊNCIA DO CONTRATO </w:t>
      </w:r>
    </w:p>
    <w:p w14:paraId="5913C2E7" w14:textId="77777777" w:rsidR="0018128D" w:rsidRPr="00722D62"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contrato terá vigência de </w:t>
      </w:r>
      <w:r w:rsidRPr="00722D62">
        <w:rPr>
          <w:rFonts w:eastAsia="Times New Roman"/>
          <w:color w:val="auto"/>
        </w:rPr>
        <w:t>12 (doze) meses</w:t>
      </w:r>
      <w:r w:rsidRPr="195F2EF2">
        <w:rPr>
          <w:rFonts w:eastAsia="Times New Roman"/>
          <w:color w:val="auto"/>
        </w:rPr>
        <w:t>, a partir da sua assinatura.</w:t>
      </w:r>
    </w:p>
    <w:p w14:paraId="6628ECE2" w14:textId="77777777" w:rsidR="0018128D" w:rsidRDefault="0018128D" w:rsidP="0018128D">
      <w:pPr>
        <w:pStyle w:val="PargrafodaLista"/>
        <w:numPr>
          <w:ilvl w:val="1"/>
          <w:numId w:val="27"/>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4B14998E" w14:textId="77777777" w:rsidR="0018128D" w:rsidRDefault="0018128D" w:rsidP="0018128D">
      <w:pPr>
        <w:pStyle w:val="PargrafodaLista"/>
        <w:numPr>
          <w:ilvl w:val="2"/>
          <w:numId w:val="27"/>
        </w:numPr>
        <w:spacing w:line="360" w:lineRule="auto"/>
        <w:ind w:left="0" w:firstLine="0"/>
        <w:jc w:val="both"/>
        <w:rPr>
          <w:rFonts w:hint="eastAsia"/>
        </w:rPr>
      </w:pPr>
      <w:r w:rsidRPr="46DABC6B">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ascii="Times New Roman" w:eastAsia="Times New Roman" w:hAnsi="Times New Roman" w:cs="Times New Roman"/>
          <w:color w:val="000000" w:themeColor="text1"/>
        </w:rPr>
        <w:t>(Art. 90. § 1º)</w:t>
      </w:r>
      <w:r>
        <w:rPr>
          <w:rFonts w:ascii="Times New Roman" w:eastAsia="Times New Roman" w:hAnsi="Times New Roman" w:cs="Times New Roman"/>
          <w:color w:val="000000" w:themeColor="text1"/>
        </w:rPr>
        <w:t>.</w:t>
      </w:r>
    </w:p>
    <w:p w14:paraId="7053B54C" w14:textId="77777777" w:rsidR="0018128D" w:rsidRPr="00375260" w:rsidRDefault="0018128D" w:rsidP="0018128D">
      <w:pPr>
        <w:pStyle w:val="Default"/>
        <w:spacing w:line="360" w:lineRule="auto"/>
        <w:jc w:val="both"/>
        <w:rPr>
          <w:rFonts w:eastAsia="Times New Roman"/>
          <w:color w:val="auto"/>
        </w:rPr>
      </w:pPr>
    </w:p>
    <w:p w14:paraId="565F2735" w14:textId="77777777" w:rsidR="0018128D" w:rsidRPr="00722D62" w:rsidRDefault="0018128D" w:rsidP="0018128D">
      <w:pPr>
        <w:pStyle w:val="Default"/>
        <w:numPr>
          <w:ilvl w:val="0"/>
          <w:numId w:val="27"/>
        </w:numPr>
        <w:shd w:val="clear" w:color="auto" w:fill="BFBFBF" w:themeFill="background1" w:themeFillShade="BF"/>
        <w:ind w:left="0" w:firstLine="0"/>
        <w:jc w:val="both"/>
        <w:rPr>
          <w:rFonts w:eastAsia="Times New Roman"/>
          <w:b/>
          <w:bCs/>
          <w:color w:val="auto"/>
          <w:sz w:val="20"/>
          <w:szCs w:val="20"/>
        </w:rPr>
      </w:pPr>
      <w:r w:rsidRPr="00722D62">
        <w:rPr>
          <w:rFonts w:eastAsia="Times New Roman"/>
          <w:b/>
          <w:bCs/>
          <w:color w:val="auto"/>
        </w:rPr>
        <w:t xml:space="preserve">REAJUSTE </w:t>
      </w:r>
    </w:p>
    <w:p w14:paraId="1B700D2C" w14:textId="77777777" w:rsidR="0018128D" w:rsidRPr="00722D62" w:rsidRDefault="0018128D" w:rsidP="0018128D">
      <w:pPr>
        <w:pStyle w:val="Default"/>
        <w:numPr>
          <w:ilvl w:val="1"/>
          <w:numId w:val="27"/>
        </w:numPr>
        <w:spacing w:line="360" w:lineRule="auto"/>
        <w:ind w:left="0" w:firstLine="0"/>
        <w:jc w:val="both"/>
        <w:rPr>
          <w:rFonts w:eastAsia="Times New Roman"/>
          <w:color w:val="auto"/>
        </w:rPr>
      </w:pPr>
      <w:r w:rsidRPr="46DABC6B">
        <w:rPr>
          <w:rFonts w:eastAsia="Times New Roman"/>
          <w:color w:val="auto"/>
        </w:rPr>
        <w:t xml:space="preserve">Os preços contratados são fixos e irreajustáveis no prazo de </w:t>
      </w:r>
      <w:r>
        <w:rPr>
          <w:rFonts w:eastAsia="Times New Roman"/>
          <w:color w:val="auto"/>
        </w:rPr>
        <w:t>vigência do contrato.</w:t>
      </w:r>
    </w:p>
    <w:p w14:paraId="34B6208F" w14:textId="77777777" w:rsidR="0018128D" w:rsidRPr="00C275FA" w:rsidRDefault="0018128D" w:rsidP="0018128D">
      <w:pPr>
        <w:pStyle w:val="Default"/>
        <w:spacing w:line="360" w:lineRule="auto"/>
        <w:jc w:val="both"/>
        <w:rPr>
          <w:rFonts w:eastAsia="Times New Roman"/>
          <w:color w:val="auto"/>
        </w:rPr>
      </w:pPr>
    </w:p>
    <w:p w14:paraId="4A0BE40B"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45384885" w14:textId="77777777" w:rsidR="0018128D" w:rsidRPr="00F61BF4" w:rsidRDefault="0018128D" w:rsidP="0018128D">
      <w:pPr>
        <w:pStyle w:val="Default"/>
        <w:numPr>
          <w:ilvl w:val="1"/>
          <w:numId w:val="27"/>
        </w:numPr>
        <w:spacing w:line="360" w:lineRule="auto"/>
        <w:ind w:left="0" w:firstLine="0"/>
        <w:jc w:val="both"/>
      </w:pPr>
      <w:r w:rsidRPr="00F61BF4">
        <w:t xml:space="preserve">O prazo para início da prestação dos serviços de consultoria </w:t>
      </w:r>
      <w:r w:rsidRPr="00F61BF4">
        <w:rPr>
          <w:rFonts w:eastAsiaTheme="minorEastAsia"/>
          <w:color w:val="000000" w:themeColor="text1"/>
        </w:rPr>
        <w:t>é de 5</w:t>
      </w:r>
      <w:r w:rsidRPr="00F61BF4">
        <w:t xml:space="preserve"> (cinco) dias </w:t>
      </w:r>
      <w:r w:rsidRPr="00F61BF4">
        <w:rPr>
          <w:rFonts w:eastAsiaTheme="minorEastAsia"/>
          <w:color w:val="000000" w:themeColor="text1"/>
        </w:rPr>
        <w:t>úteis, contados da data de rece</w:t>
      </w:r>
      <w:r w:rsidRPr="00F61BF4">
        <w:rPr>
          <w:rFonts w:eastAsia="Times New Roman"/>
          <w:color w:val="auto"/>
        </w:rPr>
        <w:t>bimento da ordem de serviço;</w:t>
      </w:r>
    </w:p>
    <w:p w14:paraId="1B42FDF2" w14:textId="77777777" w:rsidR="0018128D" w:rsidRDefault="0018128D" w:rsidP="0018128D">
      <w:pPr>
        <w:pStyle w:val="Default"/>
        <w:numPr>
          <w:ilvl w:val="1"/>
          <w:numId w:val="27"/>
        </w:numPr>
        <w:spacing w:line="360" w:lineRule="auto"/>
        <w:ind w:left="0" w:firstLine="0"/>
        <w:jc w:val="both"/>
      </w:pPr>
      <w:r>
        <w:t xml:space="preserve">A execução dos serviços deve observar o cronograma físico-financeiro apresentado no item 8.1. </w:t>
      </w:r>
    </w:p>
    <w:p w14:paraId="7414E867" w14:textId="77777777" w:rsidR="0018128D" w:rsidRPr="00275396" w:rsidRDefault="0018128D" w:rsidP="0018128D">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Os serviços serão recebidos provisoriamente</w:t>
      </w:r>
      <w:r w:rsidRPr="00275396">
        <w:rPr>
          <w:color w:val="auto"/>
        </w:rPr>
        <w:t>, de forma sumária,</w:t>
      </w:r>
      <w:r w:rsidRPr="00275396">
        <w:rPr>
          <w:rFonts w:eastAsia="Times New Roman"/>
          <w:color w:val="auto"/>
        </w:rPr>
        <w:t xml:space="preserve"> no prazo de 05 (cinco)</w:t>
      </w:r>
      <w:r>
        <w:rPr>
          <w:rFonts w:eastAsia="Times New Roman"/>
          <w:color w:val="auto"/>
        </w:rPr>
        <w:t xml:space="preserve"> </w:t>
      </w:r>
      <w:r w:rsidRPr="00275396">
        <w:rPr>
          <w:rFonts w:eastAsia="Times New Roman"/>
          <w:color w:val="auto"/>
        </w:rPr>
        <w:t xml:space="preserve">dias </w:t>
      </w:r>
      <w:r w:rsidRPr="00275396">
        <w:rPr>
          <w:rFonts w:eastAsiaTheme="minorEastAsia"/>
          <w:color w:val="000000" w:themeColor="text1"/>
        </w:rPr>
        <w:t>úteis</w:t>
      </w:r>
      <w:r w:rsidRPr="00275396">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6124C029" w14:textId="77777777" w:rsidR="0018128D" w:rsidRPr="00275396" w:rsidRDefault="0018128D" w:rsidP="0018128D">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máximo de 10 (dez) dias </w:t>
      </w:r>
      <w:r>
        <w:rPr>
          <w:rFonts w:eastAsia="Times New Roman"/>
          <w:color w:val="auto"/>
        </w:rPr>
        <w:t>corridos</w:t>
      </w:r>
      <w:r w:rsidRPr="00275396">
        <w:rPr>
          <w:rFonts w:eastAsia="Times New Roman"/>
          <w:color w:val="auto"/>
        </w:rPr>
        <w:t>, a contar da notificação da contratada, às suas custas, sem prejuízo da aplicação das penalidades aplicáveis;</w:t>
      </w:r>
    </w:p>
    <w:p w14:paraId="59ECD1C4" w14:textId="77777777" w:rsidR="0018128D" w:rsidRPr="00275396" w:rsidRDefault="0018128D" w:rsidP="0018128D">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serão recebidos definitivamente no prazo de 10 (dez) dias </w:t>
      </w:r>
      <w:r w:rsidRPr="00275396">
        <w:rPr>
          <w:rFonts w:eastAsiaTheme="minorEastAsia"/>
          <w:color w:val="000000" w:themeColor="text1"/>
        </w:rPr>
        <w:t>corridos</w:t>
      </w:r>
      <w:r w:rsidRPr="00275396">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D38231E"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1DA82AB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577B68D9" w14:textId="77777777" w:rsidR="0018128D" w:rsidRPr="00C275FA" w:rsidRDefault="0018128D" w:rsidP="0018128D">
      <w:pPr>
        <w:pStyle w:val="Default"/>
        <w:spacing w:line="360" w:lineRule="auto"/>
        <w:ind w:firstLine="720"/>
        <w:jc w:val="both"/>
        <w:rPr>
          <w:rFonts w:eastAsia="Times New Roman"/>
          <w:color w:val="auto"/>
        </w:rPr>
      </w:pPr>
    </w:p>
    <w:p w14:paraId="347239C7" w14:textId="77777777" w:rsidR="0018128D" w:rsidRPr="000A6D63" w:rsidRDefault="0018128D" w:rsidP="0018128D">
      <w:pPr>
        <w:pStyle w:val="Default"/>
        <w:numPr>
          <w:ilvl w:val="0"/>
          <w:numId w:val="27"/>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 xml:space="preserve">CRONOGRAMA </w:t>
      </w:r>
      <w:r>
        <w:rPr>
          <w:rFonts w:eastAsia="Times New Roman"/>
          <w:b/>
          <w:bCs/>
          <w:color w:val="auto"/>
        </w:rPr>
        <w:t xml:space="preserve">FÍSICO-FINANCEIRO </w:t>
      </w:r>
      <w:r w:rsidRPr="0BB01E29">
        <w:rPr>
          <w:rFonts w:eastAsia="Times New Roman"/>
          <w:b/>
          <w:bCs/>
          <w:color w:val="auto"/>
        </w:rPr>
        <w:t>D</w:t>
      </w:r>
      <w:r>
        <w:rPr>
          <w:rFonts w:eastAsia="Times New Roman"/>
          <w:b/>
          <w:bCs/>
          <w:color w:val="auto"/>
        </w:rPr>
        <w:t>A</w:t>
      </w:r>
      <w:r w:rsidRPr="0BB01E29">
        <w:rPr>
          <w:rFonts w:eastAsia="Times New Roman"/>
          <w:b/>
          <w:bCs/>
          <w:color w:val="auto"/>
        </w:rPr>
        <w:t xml:space="preserve"> EXECUÇÃO</w:t>
      </w:r>
    </w:p>
    <w:p w14:paraId="1D1F652E" w14:textId="77777777" w:rsidR="0018128D" w:rsidRPr="00275396" w:rsidRDefault="0018128D" w:rsidP="0018128D">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Cronograma relacionando a conclusão das etapas estabelecidas neste Termo de Referência ao pagamento de valores financeiros contratuais:</w:t>
      </w:r>
    </w:p>
    <w:tbl>
      <w:tblPr>
        <w:tblStyle w:val="Tabelacomgrade"/>
        <w:tblW w:w="0" w:type="auto"/>
        <w:tblInd w:w="708" w:type="dxa"/>
        <w:tblLook w:val="04A0" w:firstRow="1" w:lastRow="0" w:firstColumn="1" w:lastColumn="0" w:noHBand="0" w:noVBand="1"/>
      </w:tblPr>
      <w:tblGrid>
        <w:gridCol w:w="2831"/>
        <w:gridCol w:w="2414"/>
        <w:gridCol w:w="2541"/>
      </w:tblGrid>
      <w:tr w:rsidR="0018128D" w14:paraId="436640AA" w14:textId="77777777" w:rsidTr="00C4725E">
        <w:tc>
          <w:tcPr>
            <w:tcW w:w="7786" w:type="dxa"/>
            <w:gridSpan w:val="3"/>
            <w:shd w:val="clear" w:color="auto" w:fill="A6A6A6" w:themeFill="background1" w:themeFillShade="A6"/>
          </w:tcPr>
          <w:p w14:paraId="5879600A" w14:textId="77777777" w:rsidR="0018128D" w:rsidRDefault="0018128D" w:rsidP="00C4725E">
            <w:pPr>
              <w:pStyle w:val="Default"/>
              <w:spacing w:line="360" w:lineRule="auto"/>
              <w:jc w:val="center"/>
            </w:pPr>
            <w:r>
              <w:rPr>
                <w:rFonts w:ascii="Arial" w:hAnsi="Arial"/>
                <w:b/>
                <w:bCs/>
                <w:sz w:val="20"/>
                <w:szCs w:val="20"/>
              </w:rPr>
              <w:t>CRONOGRAMA FÍSICO-FINANCEIRO</w:t>
            </w:r>
            <w:r w:rsidRPr="098EA061">
              <w:rPr>
                <w:rFonts w:ascii="Arial" w:hAnsi="Arial"/>
                <w:b/>
                <w:bCs/>
                <w:sz w:val="20"/>
                <w:szCs w:val="20"/>
              </w:rPr>
              <w:t xml:space="preserve"> DA EXECUÇÃO DOS</w:t>
            </w:r>
            <w:r w:rsidRPr="78BCFEAA">
              <w:rPr>
                <w:rFonts w:ascii="Arial" w:hAnsi="Arial"/>
                <w:b/>
                <w:bCs/>
                <w:sz w:val="20"/>
                <w:szCs w:val="20"/>
              </w:rPr>
              <w:t xml:space="preserve"> SERVIÇOS</w:t>
            </w:r>
          </w:p>
        </w:tc>
      </w:tr>
      <w:tr w:rsidR="0018128D" w14:paraId="3F2603E4" w14:textId="77777777" w:rsidTr="00C4725E">
        <w:tc>
          <w:tcPr>
            <w:tcW w:w="2831" w:type="dxa"/>
            <w:shd w:val="clear" w:color="auto" w:fill="D9D9D9" w:themeFill="background1" w:themeFillShade="D9"/>
          </w:tcPr>
          <w:p w14:paraId="44CB9C37" w14:textId="77777777" w:rsidR="0018128D" w:rsidRDefault="0018128D" w:rsidP="00C4725E">
            <w:pPr>
              <w:pStyle w:val="Default"/>
              <w:spacing w:line="360" w:lineRule="auto"/>
              <w:jc w:val="center"/>
            </w:pPr>
            <w:r>
              <w:t>Serviços</w:t>
            </w:r>
          </w:p>
        </w:tc>
        <w:tc>
          <w:tcPr>
            <w:tcW w:w="2414" w:type="dxa"/>
            <w:shd w:val="clear" w:color="auto" w:fill="D9D9D9" w:themeFill="background1" w:themeFillShade="D9"/>
          </w:tcPr>
          <w:p w14:paraId="5234B761" w14:textId="77777777" w:rsidR="0018128D" w:rsidRDefault="0018128D" w:rsidP="00C4725E">
            <w:pPr>
              <w:pStyle w:val="Default"/>
              <w:spacing w:line="360" w:lineRule="auto"/>
              <w:jc w:val="center"/>
            </w:pPr>
            <w:r>
              <w:t>Prazo máximo de Execução</w:t>
            </w:r>
          </w:p>
          <w:p w14:paraId="4B6BF66E" w14:textId="77777777" w:rsidR="0018128D" w:rsidRDefault="0018128D" w:rsidP="00C4725E">
            <w:pPr>
              <w:pStyle w:val="Default"/>
              <w:spacing w:line="360" w:lineRule="auto"/>
              <w:jc w:val="center"/>
            </w:pPr>
            <w:r>
              <w:t>(Em semanas)</w:t>
            </w:r>
          </w:p>
        </w:tc>
        <w:tc>
          <w:tcPr>
            <w:tcW w:w="2541" w:type="dxa"/>
            <w:shd w:val="clear" w:color="auto" w:fill="D9D9D9" w:themeFill="background1" w:themeFillShade="D9"/>
          </w:tcPr>
          <w:p w14:paraId="07D9ACE9" w14:textId="77777777" w:rsidR="0018128D" w:rsidRDefault="0018128D" w:rsidP="00C4725E">
            <w:pPr>
              <w:pStyle w:val="Default"/>
              <w:spacing w:line="360" w:lineRule="auto"/>
              <w:jc w:val="center"/>
            </w:pPr>
            <w:r>
              <w:t>Percentual do Faturamento em relação ao valor global</w:t>
            </w:r>
          </w:p>
          <w:p w14:paraId="44CB1D0B" w14:textId="77777777" w:rsidR="0018128D" w:rsidRDefault="0018128D" w:rsidP="00C4725E">
            <w:pPr>
              <w:pStyle w:val="Default"/>
              <w:spacing w:line="360" w:lineRule="auto"/>
              <w:jc w:val="center"/>
            </w:pPr>
            <w:r>
              <w:t>mediante finalização do serviço previsto:</w:t>
            </w:r>
          </w:p>
        </w:tc>
      </w:tr>
      <w:tr w:rsidR="0018128D" w14:paraId="5C38190E" w14:textId="77777777" w:rsidTr="00C4725E">
        <w:tc>
          <w:tcPr>
            <w:tcW w:w="2831" w:type="dxa"/>
          </w:tcPr>
          <w:p w14:paraId="307013F3" w14:textId="77777777" w:rsidR="0018128D" w:rsidRDefault="0018128D" w:rsidP="00C4725E">
            <w:pPr>
              <w:pStyle w:val="Default"/>
              <w:spacing w:line="360" w:lineRule="auto"/>
              <w:jc w:val="both"/>
            </w:pPr>
            <w:r>
              <w:t>Especificados no Item 3.12</w:t>
            </w:r>
          </w:p>
        </w:tc>
        <w:tc>
          <w:tcPr>
            <w:tcW w:w="2414" w:type="dxa"/>
          </w:tcPr>
          <w:p w14:paraId="56BA2E1D" w14:textId="77777777" w:rsidR="0018128D" w:rsidRDefault="0018128D" w:rsidP="00C4725E">
            <w:pPr>
              <w:pStyle w:val="Default"/>
              <w:spacing w:line="360" w:lineRule="auto"/>
              <w:jc w:val="center"/>
            </w:pPr>
            <w:r>
              <w:t>8 (oito)</w:t>
            </w:r>
          </w:p>
        </w:tc>
        <w:tc>
          <w:tcPr>
            <w:tcW w:w="2541" w:type="dxa"/>
          </w:tcPr>
          <w:p w14:paraId="3F87EA66" w14:textId="77777777" w:rsidR="0018128D" w:rsidRDefault="0018128D" w:rsidP="00C4725E">
            <w:pPr>
              <w:pStyle w:val="Default"/>
              <w:spacing w:line="360" w:lineRule="auto"/>
              <w:jc w:val="center"/>
            </w:pPr>
            <w:r>
              <w:t>30%</w:t>
            </w:r>
          </w:p>
        </w:tc>
      </w:tr>
      <w:tr w:rsidR="0018128D" w14:paraId="70E08439" w14:textId="77777777" w:rsidTr="00C4725E">
        <w:tc>
          <w:tcPr>
            <w:tcW w:w="2831" w:type="dxa"/>
          </w:tcPr>
          <w:p w14:paraId="6F260B4B" w14:textId="77777777" w:rsidR="0018128D" w:rsidRDefault="0018128D" w:rsidP="00C4725E">
            <w:pPr>
              <w:pStyle w:val="Default"/>
              <w:spacing w:line="360" w:lineRule="auto"/>
              <w:jc w:val="both"/>
            </w:pPr>
            <w:r>
              <w:t>Especificados no Item 3.13</w:t>
            </w:r>
          </w:p>
        </w:tc>
        <w:tc>
          <w:tcPr>
            <w:tcW w:w="2414" w:type="dxa"/>
          </w:tcPr>
          <w:p w14:paraId="218C3AF4" w14:textId="77777777" w:rsidR="0018128D" w:rsidRDefault="0018128D" w:rsidP="00C4725E">
            <w:pPr>
              <w:pStyle w:val="Default"/>
              <w:spacing w:line="360" w:lineRule="auto"/>
              <w:jc w:val="center"/>
            </w:pPr>
            <w:r>
              <w:t>6 (seis)</w:t>
            </w:r>
          </w:p>
        </w:tc>
        <w:tc>
          <w:tcPr>
            <w:tcW w:w="2541" w:type="dxa"/>
          </w:tcPr>
          <w:p w14:paraId="1BBE5C1D" w14:textId="77777777" w:rsidR="0018128D" w:rsidRDefault="0018128D" w:rsidP="00C4725E">
            <w:pPr>
              <w:pStyle w:val="Default"/>
              <w:spacing w:line="360" w:lineRule="auto"/>
              <w:jc w:val="center"/>
            </w:pPr>
            <w:r>
              <w:t>30%</w:t>
            </w:r>
          </w:p>
        </w:tc>
      </w:tr>
      <w:tr w:rsidR="0018128D" w14:paraId="0871E922" w14:textId="77777777" w:rsidTr="00C4725E">
        <w:tc>
          <w:tcPr>
            <w:tcW w:w="2831" w:type="dxa"/>
          </w:tcPr>
          <w:p w14:paraId="703D67AE" w14:textId="77777777" w:rsidR="0018128D" w:rsidRDefault="0018128D" w:rsidP="00C4725E">
            <w:pPr>
              <w:pStyle w:val="Default"/>
              <w:spacing w:line="360" w:lineRule="auto"/>
              <w:jc w:val="both"/>
            </w:pPr>
            <w:r>
              <w:t>Especificados no Item 3.14</w:t>
            </w:r>
          </w:p>
        </w:tc>
        <w:tc>
          <w:tcPr>
            <w:tcW w:w="2414" w:type="dxa"/>
          </w:tcPr>
          <w:p w14:paraId="7EBF6A7B" w14:textId="77777777" w:rsidR="0018128D" w:rsidRDefault="0018128D" w:rsidP="00C4725E">
            <w:pPr>
              <w:pStyle w:val="Default"/>
              <w:spacing w:line="360" w:lineRule="auto"/>
              <w:jc w:val="center"/>
            </w:pPr>
            <w:r>
              <w:t>8 (oito)</w:t>
            </w:r>
          </w:p>
        </w:tc>
        <w:tc>
          <w:tcPr>
            <w:tcW w:w="2541" w:type="dxa"/>
          </w:tcPr>
          <w:p w14:paraId="1064DCA9" w14:textId="77777777" w:rsidR="0018128D" w:rsidRDefault="0018128D" w:rsidP="00C4725E">
            <w:pPr>
              <w:pStyle w:val="Default"/>
              <w:spacing w:line="360" w:lineRule="auto"/>
              <w:jc w:val="center"/>
            </w:pPr>
            <w:r>
              <w:t>40%</w:t>
            </w:r>
          </w:p>
        </w:tc>
      </w:tr>
    </w:tbl>
    <w:p w14:paraId="15097780" w14:textId="77777777" w:rsidR="0018128D" w:rsidRDefault="0018128D" w:rsidP="0018128D">
      <w:pPr>
        <w:pStyle w:val="Default"/>
        <w:spacing w:line="360" w:lineRule="auto"/>
        <w:jc w:val="both"/>
        <w:rPr>
          <w:rFonts w:eastAsia="Times New Roman"/>
          <w:b/>
          <w:bCs/>
          <w:color w:val="auto"/>
          <w:highlight w:val="yellow"/>
        </w:rPr>
      </w:pPr>
    </w:p>
    <w:p w14:paraId="273A1B2E" w14:textId="77777777" w:rsidR="0018128D" w:rsidRPr="00FD533A" w:rsidRDefault="0018128D" w:rsidP="0018128D">
      <w:pPr>
        <w:pStyle w:val="Default"/>
        <w:numPr>
          <w:ilvl w:val="2"/>
          <w:numId w:val="27"/>
        </w:numPr>
        <w:spacing w:line="360" w:lineRule="auto"/>
        <w:ind w:left="2160"/>
        <w:jc w:val="both"/>
        <w:rPr>
          <w:rFonts w:eastAsia="Times New Roman"/>
          <w:color w:val="auto"/>
        </w:rPr>
      </w:pPr>
      <w:r w:rsidRPr="00FD533A">
        <w:rPr>
          <w:rFonts w:eastAsia="Times New Roman"/>
          <w:color w:val="auto"/>
        </w:rPr>
        <w:t>A CONTRATADA estará apta a emitir notas fiscais para recebimento, após a conclusão dos serviços conforme previsto na tabela acima.</w:t>
      </w:r>
    </w:p>
    <w:p w14:paraId="7B317798" w14:textId="77777777" w:rsidR="0018128D" w:rsidRPr="00FD533A" w:rsidRDefault="0018128D" w:rsidP="0018128D">
      <w:pPr>
        <w:pStyle w:val="Default"/>
        <w:numPr>
          <w:ilvl w:val="2"/>
          <w:numId w:val="27"/>
        </w:numPr>
        <w:spacing w:line="360" w:lineRule="auto"/>
        <w:ind w:left="2160"/>
        <w:jc w:val="both"/>
        <w:rPr>
          <w:rFonts w:eastAsia="Times New Roman"/>
          <w:color w:val="auto"/>
        </w:rPr>
      </w:pPr>
      <w:r w:rsidRPr="00FD533A">
        <w:rPr>
          <w:rFonts w:eastAsia="Times New Roman"/>
          <w:color w:val="auto"/>
        </w:rPr>
        <w:t>Em razão da natureza dos serviços, condições e disponibilidade de outras equipes necessárias para a realização das atividades previstas, considerando o interesse da CONTRATANTE, os prazos máximos do cronograma acima poderão ser revistos em comum acordo entre as partes.</w:t>
      </w:r>
    </w:p>
    <w:p w14:paraId="33C5F1CA" w14:textId="77777777" w:rsidR="0018128D" w:rsidRPr="000A6D63" w:rsidRDefault="0018128D" w:rsidP="0018128D">
      <w:pPr>
        <w:pStyle w:val="Default"/>
        <w:spacing w:after="240"/>
        <w:ind w:left="720"/>
        <w:jc w:val="both"/>
        <w:rPr>
          <w:rFonts w:eastAsia="Times New Roman"/>
          <w:color w:val="auto"/>
        </w:rPr>
      </w:pPr>
    </w:p>
    <w:p w14:paraId="4BD997B1"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759D3BD0" w14:textId="77777777" w:rsidR="0018128D" w:rsidRPr="00B22524" w:rsidRDefault="0018128D" w:rsidP="0018128D">
      <w:pPr>
        <w:pStyle w:val="Default"/>
        <w:numPr>
          <w:ilvl w:val="1"/>
          <w:numId w:val="27"/>
        </w:numPr>
        <w:spacing w:line="360" w:lineRule="auto"/>
        <w:ind w:left="0" w:firstLine="0"/>
        <w:jc w:val="both"/>
        <w:rPr>
          <w:rFonts w:eastAsia="Times New Roman"/>
          <w:color w:val="auto"/>
        </w:rPr>
      </w:pPr>
      <w:r>
        <w:rPr>
          <w:rFonts w:eastAsiaTheme="minorEastAsia"/>
          <w:color w:val="auto"/>
        </w:rPr>
        <w:t>Conforme a etapa e características envolvidas na execução das atividades previstas, o</w:t>
      </w:r>
      <w:r w:rsidRPr="195F2EF2">
        <w:rPr>
          <w:rFonts w:eastAsiaTheme="minorEastAsia"/>
          <w:color w:val="auto"/>
        </w:rPr>
        <w:t>s serviços deverão ser prestados de forma remota</w:t>
      </w:r>
      <w:r>
        <w:rPr>
          <w:rFonts w:eastAsiaTheme="minorEastAsia"/>
          <w:color w:val="auto"/>
        </w:rPr>
        <w:t xml:space="preserve"> ou presencial</w:t>
      </w:r>
      <w:r w:rsidRPr="195F2EF2">
        <w:rPr>
          <w:rFonts w:eastAsiaTheme="minorEastAsia"/>
          <w:color w:val="auto"/>
        </w:rPr>
        <w:t xml:space="preserve">. </w:t>
      </w:r>
      <w:r>
        <w:rPr>
          <w:rFonts w:eastAsiaTheme="minorEastAsia"/>
          <w:color w:val="auto"/>
        </w:rPr>
        <w:t xml:space="preserve">Quando executados de forma presencial, </w:t>
      </w:r>
      <w:r w:rsidRPr="195F2EF2">
        <w:rPr>
          <w:rFonts w:eastAsiaTheme="minorEastAsia"/>
          <w:color w:val="auto"/>
        </w:rPr>
        <w:t>a critério da CONTRATANTE, eles poderão ser prestados na Sede do CNMP, no Setor de Administração Federal Sul – SAFS, Quadra 2, Lote 3, CEP 70070-600 em Brasília-DF</w:t>
      </w:r>
      <w:r>
        <w:rPr>
          <w:rFonts w:eastAsiaTheme="minorEastAsia"/>
          <w:color w:val="auto"/>
        </w:rPr>
        <w:t xml:space="preserve"> ou então na Sede do MPDFT, localizado no </w:t>
      </w:r>
      <w:r w:rsidRPr="004519CF">
        <w:rPr>
          <w:rFonts w:eastAsiaTheme="minorEastAsia"/>
          <w:color w:val="auto"/>
        </w:rPr>
        <w:t>Eixo Monumental, Praça do Buriti, Lote 2, CEP 70.091-900</w:t>
      </w:r>
      <w:r>
        <w:rPr>
          <w:rFonts w:eastAsiaTheme="minorEastAsia"/>
          <w:color w:val="auto"/>
        </w:rPr>
        <w:t xml:space="preserve"> em Brasília-DF</w:t>
      </w:r>
      <w:r w:rsidRPr="195F2EF2">
        <w:rPr>
          <w:rFonts w:eastAsiaTheme="minorEastAsia"/>
          <w:color w:val="auto"/>
        </w:rPr>
        <w:t xml:space="preserve">. </w:t>
      </w:r>
      <w:r>
        <w:rPr>
          <w:rFonts w:eastAsiaTheme="minorEastAsia"/>
          <w:color w:val="auto"/>
        </w:rPr>
        <w:t>As</w:t>
      </w:r>
      <w:r w:rsidRPr="195F2EF2">
        <w:rPr>
          <w:rFonts w:eastAsiaTheme="minorEastAsia"/>
          <w:color w:val="auto"/>
        </w:rPr>
        <w:t xml:space="preserve"> eventu</w:t>
      </w:r>
      <w:r>
        <w:rPr>
          <w:rFonts w:eastAsiaTheme="minorEastAsia"/>
          <w:color w:val="auto"/>
        </w:rPr>
        <w:t xml:space="preserve">ais </w:t>
      </w:r>
      <w:r w:rsidRPr="195F2EF2">
        <w:rPr>
          <w:rFonts w:eastAsiaTheme="minorEastAsia"/>
          <w:color w:val="auto"/>
        </w:rPr>
        <w:t>mudança</w:t>
      </w:r>
      <w:r>
        <w:rPr>
          <w:rFonts w:eastAsiaTheme="minorEastAsia"/>
          <w:color w:val="auto"/>
        </w:rPr>
        <w:t>s</w:t>
      </w:r>
      <w:r w:rsidRPr="195F2EF2">
        <w:rPr>
          <w:rFonts w:eastAsiaTheme="minorEastAsia"/>
          <w:color w:val="auto"/>
        </w:rPr>
        <w:t xml:space="preserve"> </w:t>
      </w:r>
      <w:r>
        <w:rPr>
          <w:rFonts w:eastAsiaTheme="minorEastAsia"/>
          <w:color w:val="auto"/>
        </w:rPr>
        <w:t>de</w:t>
      </w:r>
      <w:r w:rsidRPr="195F2EF2">
        <w:rPr>
          <w:rFonts w:eastAsiaTheme="minorEastAsia"/>
          <w:color w:val="auto"/>
        </w:rPr>
        <w:t xml:space="preserve"> loca</w:t>
      </w:r>
      <w:r>
        <w:rPr>
          <w:rFonts w:eastAsiaTheme="minorEastAsia"/>
          <w:color w:val="auto"/>
        </w:rPr>
        <w:t>is</w:t>
      </w:r>
      <w:r w:rsidRPr="195F2EF2">
        <w:rPr>
          <w:rFonts w:eastAsiaTheme="minorEastAsia"/>
          <w:color w:val="auto"/>
        </w:rPr>
        <w:t xml:space="preserve"> em Brasília-DF não deverão interromp</w:t>
      </w:r>
      <w:r>
        <w:rPr>
          <w:rFonts w:eastAsiaTheme="minorEastAsia"/>
          <w:color w:val="auto"/>
        </w:rPr>
        <w:t>er</w:t>
      </w:r>
      <w:r w:rsidRPr="195F2EF2">
        <w:rPr>
          <w:rFonts w:eastAsiaTheme="minorEastAsia"/>
          <w:color w:val="auto"/>
        </w:rPr>
        <w:t xml:space="preserve"> a prestação dos serviços, nas mesmas condições estabelecidas neste Termo de Referência.</w:t>
      </w:r>
    </w:p>
    <w:p w14:paraId="2C0C8496" w14:textId="77777777" w:rsidR="0018128D" w:rsidRDefault="0018128D" w:rsidP="0018128D">
      <w:pPr>
        <w:pStyle w:val="Default"/>
        <w:numPr>
          <w:ilvl w:val="2"/>
          <w:numId w:val="27"/>
        </w:numPr>
        <w:spacing w:line="360" w:lineRule="auto"/>
        <w:ind w:left="2160"/>
        <w:jc w:val="both"/>
        <w:rPr>
          <w:rFonts w:eastAsia="Times New Roman"/>
          <w:color w:val="auto"/>
        </w:rPr>
      </w:pPr>
      <w:r>
        <w:rPr>
          <w:rFonts w:eastAsiaTheme="minorEastAsia"/>
          <w:color w:val="auto"/>
        </w:rPr>
        <w:t>Em razão da natureza dos serviços, que implica na realização de reuniões diversas e conhecimento das características relacionadas às atividades desenvolvidas pela CONTRATANTE, incluindo o conhecimento das instalações físicas da edificação atualmente ocupada pelo CNMP, a CONTRATADA está ciente quanto à obrigatoriedade do seu comparecimento presencial em determinadas etapas de desenvolvimento dos serviços, especialmente nas etapas iniciais, de levantamento de informações, realização de discussões com as equipes e especificação dos requisitos.</w:t>
      </w:r>
    </w:p>
    <w:p w14:paraId="7747493A" w14:textId="77777777" w:rsidR="0018128D" w:rsidRPr="004519CF" w:rsidRDefault="0018128D" w:rsidP="0018128D">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04D13501" w14:textId="77777777" w:rsidR="0018128D" w:rsidRPr="00C275FA" w:rsidRDefault="0018128D" w:rsidP="0018128D">
      <w:pPr>
        <w:pStyle w:val="Default"/>
        <w:spacing w:line="360" w:lineRule="auto"/>
        <w:jc w:val="both"/>
        <w:rPr>
          <w:rFonts w:eastAsia="Times New Roman"/>
          <w:b/>
          <w:bCs/>
          <w:color w:val="auto"/>
        </w:rPr>
      </w:pPr>
    </w:p>
    <w:p w14:paraId="68EB0F73"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1CBC8F70"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08D77B4E"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4DA21AFA"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5EF1D923"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7F23F844"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21F83FC4"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4BB30DCE"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2F257C3E"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4C1C1949"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6D02D949"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6E268448">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2156C892" w14:textId="77777777" w:rsidR="0018128D" w:rsidRDefault="0018128D" w:rsidP="0018128D">
      <w:pPr>
        <w:pStyle w:val="PargrafodaLista"/>
        <w:numPr>
          <w:ilvl w:val="2"/>
          <w:numId w:val="27"/>
        </w:numPr>
        <w:spacing w:line="360" w:lineRule="auto"/>
        <w:ind w:left="0" w:firstLine="0"/>
        <w:jc w:val="both"/>
        <w:rPr>
          <w:rFonts w:ascii="Times New Roman" w:eastAsia="Times New Roman" w:hAnsi="Times New Roman" w:cs="Times New Roman"/>
        </w:rPr>
      </w:pPr>
      <w:r w:rsidRPr="6E268448">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1959570B" w14:textId="77777777" w:rsidR="0018128D" w:rsidRPr="00C275FA" w:rsidRDefault="0018128D" w:rsidP="0018128D">
      <w:pPr>
        <w:pStyle w:val="Default"/>
        <w:spacing w:line="360" w:lineRule="auto"/>
        <w:ind w:firstLine="720"/>
        <w:jc w:val="both"/>
        <w:rPr>
          <w:rFonts w:eastAsia="Times New Roman"/>
          <w:color w:val="auto"/>
        </w:rPr>
      </w:pPr>
    </w:p>
    <w:p w14:paraId="136CF7D9"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566CF1CF"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2C8571F6"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1671A31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208A701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79FAE7D0"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9504C0">
        <w:rPr>
          <w:rFonts w:eastAsia="Times New Roman"/>
          <w:color w:val="auto"/>
        </w:rPr>
        <w:t>02 (dois) dias</w:t>
      </w:r>
      <w:r>
        <w:rPr>
          <w:rFonts w:eastAsia="Times New Roman"/>
          <w:color w:val="auto"/>
        </w:rPr>
        <w:t xml:space="preserve"> úteis</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299BFF04"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6092F805"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0141C12B" w14:textId="77777777" w:rsidR="0018128D" w:rsidRPr="00C275FA" w:rsidRDefault="0018128D" w:rsidP="0018128D">
      <w:pPr>
        <w:pStyle w:val="Default"/>
        <w:numPr>
          <w:ilvl w:val="1"/>
          <w:numId w:val="27"/>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529C50EF" w14:textId="77777777" w:rsidR="0018128D" w:rsidRPr="00C275FA" w:rsidRDefault="0018128D" w:rsidP="0018128D">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51D9B126" w14:textId="77777777" w:rsidR="0018128D" w:rsidRPr="00C275FA" w:rsidRDefault="0018128D" w:rsidP="0018128D">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276DD952" w14:textId="77777777" w:rsidR="0018128D" w:rsidRPr="00C275FA" w:rsidRDefault="0018128D" w:rsidP="0018128D">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3C36E273" w14:textId="77777777" w:rsidR="0018128D" w:rsidRDefault="0018128D" w:rsidP="0018128D">
      <w:pPr>
        <w:spacing w:line="360" w:lineRule="auto"/>
        <w:ind w:left="360"/>
        <w:jc w:val="both"/>
        <w:rPr>
          <w:rFonts w:ascii="Times New Roman" w:eastAsia="Times New Roman" w:hAnsi="Times New Roman" w:cs="Times New Roman"/>
        </w:rPr>
      </w:pPr>
    </w:p>
    <w:p w14:paraId="209A3071"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564130A6"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1DF422BA" w14:textId="77777777" w:rsidR="0018128D" w:rsidRPr="00C275FA" w:rsidRDefault="0018128D" w:rsidP="0018128D">
      <w:pPr>
        <w:pStyle w:val="Default"/>
        <w:spacing w:line="360" w:lineRule="auto"/>
        <w:ind w:firstLine="720"/>
        <w:jc w:val="both"/>
        <w:rPr>
          <w:color w:val="auto"/>
        </w:rPr>
      </w:pPr>
    </w:p>
    <w:p w14:paraId="39E50BEB"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6E268448">
        <w:rPr>
          <w:rFonts w:eastAsia="Times New Roman"/>
          <w:b/>
          <w:bCs/>
          <w:color w:val="auto"/>
        </w:rPr>
        <w:t xml:space="preserve">CRITÉRIOS PARA </w:t>
      </w:r>
      <w:r w:rsidRPr="003C2897">
        <w:rPr>
          <w:rFonts w:eastAsia="Times New Roman"/>
          <w:b/>
          <w:bCs/>
          <w:color w:val="auto"/>
        </w:rPr>
        <w:t>JULGAMENTO E</w:t>
      </w:r>
      <w:r w:rsidRPr="6E268448">
        <w:rPr>
          <w:rFonts w:eastAsia="Times New Roman"/>
          <w:b/>
          <w:bCs/>
          <w:color w:val="auto"/>
        </w:rPr>
        <w:t xml:space="preserve"> ELABORAÇÃO DA</w:t>
      </w:r>
      <w:r w:rsidRPr="6E268448">
        <w:rPr>
          <w:rFonts w:eastAsia="Times New Roman"/>
          <w:b/>
          <w:bCs/>
          <w:strike/>
          <w:color w:val="auto"/>
        </w:rPr>
        <w:t>S</w:t>
      </w:r>
      <w:r w:rsidRPr="6E268448">
        <w:rPr>
          <w:rFonts w:eastAsia="Times New Roman"/>
          <w:b/>
          <w:bCs/>
          <w:color w:val="auto"/>
        </w:rPr>
        <w:t xml:space="preserve"> PROPOSTA</w:t>
      </w:r>
      <w:r w:rsidRPr="6E268448">
        <w:rPr>
          <w:rFonts w:eastAsia="Times New Roman"/>
          <w:b/>
          <w:bCs/>
          <w:strike/>
          <w:color w:val="auto"/>
        </w:rPr>
        <w:t>S</w:t>
      </w:r>
    </w:p>
    <w:p w14:paraId="230701C0"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5EDAF23F" w14:textId="77777777" w:rsidR="0018128D" w:rsidRPr="003C2897" w:rsidRDefault="0018128D" w:rsidP="0018128D">
      <w:pPr>
        <w:pStyle w:val="Default"/>
        <w:numPr>
          <w:ilvl w:val="1"/>
          <w:numId w:val="27"/>
        </w:numPr>
        <w:spacing w:line="360" w:lineRule="auto"/>
        <w:ind w:left="0" w:firstLine="0"/>
        <w:jc w:val="both"/>
        <w:rPr>
          <w:rFonts w:eastAsia="Times New Roman"/>
          <w:color w:val="auto"/>
        </w:rPr>
      </w:pPr>
      <w:r w:rsidRPr="003C2897">
        <w:rPr>
          <w:rFonts w:eastAsia="Times New Roman"/>
          <w:color w:val="auto"/>
        </w:rPr>
        <w:t xml:space="preserve">O julgamento das propostas se dará pelo menor preço global; </w:t>
      </w:r>
    </w:p>
    <w:p w14:paraId="108C5061"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71DC6C10" w14:textId="77777777" w:rsidR="0018128D" w:rsidRPr="00C275FA" w:rsidRDefault="0018128D" w:rsidP="0018128D">
      <w:pPr>
        <w:spacing w:line="360" w:lineRule="auto"/>
        <w:jc w:val="both"/>
        <w:rPr>
          <w:rFonts w:ascii="Times New Roman" w:eastAsia="Times New Roman" w:hAnsi="Times New Roman" w:cs="Times New Roman"/>
        </w:rPr>
      </w:pPr>
    </w:p>
    <w:p w14:paraId="302A94E7"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6C9F3BC1"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3C45326" w14:textId="77777777" w:rsidR="0018128D" w:rsidRPr="00C275FA" w:rsidRDefault="0018128D" w:rsidP="0018128D">
      <w:pPr>
        <w:pStyle w:val="Default"/>
        <w:spacing w:line="360" w:lineRule="auto"/>
        <w:ind w:firstLine="720"/>
        <w:jc w:val="both"/>
        <w:rPr>
          <w:rFonts w:eastAsia="Times New Roman"/>
          <w:color w:val="auto"/>
        </w:rPr>
      </w:pPr>
    </w:p>
    <w:p w14:paraId="0DB6B259" w14:textId="77777777" w:rsidR="0018128D" w:rsidRPr="00D61E55"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34E4B622" w14:textId="77777777" w:rsidR="0018128D" w:rsidRPr="00D61E55" w:rsidRDefault="0018128D" w:rsidP="0018128D">
      <w:pPr>
        <w:pStyle w:val="Default"/>
        <w:numPr>
          <w:ilvl w:val="1"/>
          <w:numId w:val="27"/>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452BF9DD" w14:textId="77777777" w:rsidR="0018128D" w:rsidRPr="00D61E55" w:rsidRDefault="0018128D" w:rsidP="0018128D">
      <w:pPr>
        <w:pStyle w:val="Default"/>
        <w:numPr>
          <w:ilvl w:val="1"/>
          <w:numId w:val="27"/>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431D6003" w14:textId="77777777" w:rsidR="0018128D" w:rsidRPr="00D61E55" w:rsidRDefault="0018128D" w:rsidP="0018128D">
      <w:pPr>
        <w:pStyle w:val="Default"/>
        <w:numPr>
          <w:ilvl w:val="1"/>
          <w:numId w:val="27"/>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58F92CED"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A3D7821"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533689BD"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6E4F0C3F" w14:textId="77777777" w:rsidR="0018128D" w:rsidRDefault="0018128D" w:rsidP="0018128D">
      <w:pPr>
        <w:pStyle w:val="Default"/>
        <w:numPr>
          <w:ilvl w:val="1"/>
          <w:numId w:val="27"/>
        </w:numPr>
        <w:spacing w:line="360" w:lineRule="auto"/>
        <w:ind w:left="0" w:firstLine="0"/>
        <w:jc w:val="both"/>
        <w:rPr>
          <w:rFonts w:eastAsia="Times New Roman"/>
          <w:color w:val="auto"/>
        </w:rPr>
      </w:pPr>
      <w:r w:rsidRPr="00985DE6">
        <w:rPr>
          <w:rFonts w:eastAsia="Times New Roman"/>
          <w:color w:val="auto"/>
        </w:rPr>
        <w:t>Após a assinatura do contrato, a CONTRATADA deverá apresentar ao gestor do contrato</w:t>
      </w:r>
      <w:r>
        <w:rPr>
          <w:rFonts w:eastAsia="Times New Roman"/>
          <w:color w:val="auto"/>
        </w:rPr>
        <w:t xml:space="preserve">: </w:t>
      </w:r>
    </w:p>
    <w:p w14:paraId="6995BF00" w14:textId="77777777" w:rsidR="0018128D" w:rsidRPr="00C275FA" w:rsidRDefault="0018128D" w:rsidP="0018128D">
      <w:pPr>
        <w:pStyle w:val="Default"/>
        <w:numPr>
          <w:ilvl w:val="2"/>
          <w:numId w:val="27"/>
        </w:numPr>
        <w:spacing w:line="360" w:lineRule="auto"/>
        <w:ind w:left="2160"/>
        <w:jc w:val="both"/>
        <w:rPr>
          <w:rFonts w:eastAsia="Times New Roman"/>
          <w:color w:val="auto"/>
        </w:rPr>
      </w:pPr>
      <w:r w:rsidRPr="00BF00EF">
        <w:rPr>
          <w:rFonts w:eastAsia="Times New Roman"/>
          <w:color w:val="auto"/>
        </w:rPr>
        <w:t>Apresentar a Anotação de Responsabilidade Técnica - A.R.T. realizado junto ao Conselho Regional de Engenharia, Arquitetura e Agronomia do Distrito Federal – CREA/DF</w:t>
      </w:r>
      <w:r>
        <w:rPr>
          <w:rFonts w:eastAsia="Times New Roman"/>
          <w:color w:val="auto"/>
        </w:rPr>
        <w:t>,</w:t>
      </w:r>
      <w:r w:rsidRPr="00BF00EF">
        <w:rPr>
          <w:rFonts w:eastAsia="Times New Roman"/>
          <w:color w:val="auto"/>
        </w:rPr>
        <w:t xml:space="preserve"> referente à prestação dos serviços contratados para a apreciação e aprovação por parte da CONTRATANTE, em até 05 (dias) dias contados do recebimento da ordem de serviço de início do contrato</w:t>
      </w:r>
      <w:r>
        <w:rPr>
          <w:rFonts w:eastAsia="Times New Roman"/>
          <w:color w:val="auto"/>
        </w:rPr>
        <w:t>.</w:t>
      </w:r>
    </w:p>
    <w:p w14:paraId="30CD556B" w14:textId="77777777" w:rsidR="0018128D" w:rsidRPr="00C275FA" w:rsidRDefault="0018128D" w:rsidP="0018128D">
      <w:pPr>
        <w:pStyle w:val="Default"/>
        <w:spacing w:line="360" w:lineRule="auto"/>
        <w:jc w:val="both"/>
        <w:rPr>
          <w:rFonts w:eastAsia="Times New Roman"/>
          <w:color w:val="auto"/>
        </w:rPr>
      </w:pPr>
    </w:p>
    <w:p w14:paraId="5052AB5C"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0E84B8D3"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14B3264F"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7D16C42"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7832E55B"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5395DBE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13BBD33" w14:textId="77777777" w:rsidR="0018128D" w:rsidRDefault="0018128D" w:rsidP="0018128D">
      <w:pPr>
        <w:pStyle w:val="Default"/>
        <w:spacing w:line="360" w:lineRule="auto"/>
        <w:jc w:val="both"/>
        <w:rPr>
          <w:rFonts w:eastAsia="Times New Roman"/>
          <w:b/>
          <w:bCs/>
          <w:color w:val="auto"/>
        </w:rPr>
      </w:pPr>
    </w:p>
    <w:p w14:paraId="5BD6177B" w14:textId="77777777" w:rsidR="0018128D" w:rsidRPr="006319B9"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3F4FAE3D" w14:textId="77777777" w:rsidR="0018128D" w:rsidRPr="006319B9"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O CONTRATANTE </w:t>
      </w:r>
      <w:r>
        <w:rPr>
          <w:rFonts w:eastAsia="Times New Roman"/>
          <w:color w:val="auto"/>
        </w:rPr>
        <w:t>efetuará o pagamento</w:t>
      </w:r>
      <w:r w:rsidRPr="00E130F3">
        <w:rPr>
          <w:rFonts w:eastAsia="Times New Roman"/>
          <w:color w:val="auto"/>
        </w:rPr>
        <w:t xml:space="preserve"> à CONTRATADA, pelos serviços efetivamente prestados</w:t>
      </w:r>
      <w:r w:rsidRPr="00E130F3">
        <w:rPr>
          <w:rFonts w:eastAsiaTheme="minorEastAsia"/>
          <w:color w:val="auto"/>
        </w:rPr>
        <w:t xml:space="preserve">, </w:t>
      </w:r>
      <w:r>
        <w:rPr>
          <w:rFonts w:eastAsiaTheme="minorEastAsia"/>
          <w:color w:val="auto"/>
        </w:rPr>
        <w:t xml:space="preserve">conforme Cronograma Físico-Financeiro apresentado no item 8.1, </w:t>
      </w:r>
      <w:r w:rsidRPr="00E130F3">
        <w:rPr>
          <w:rFonts w:eastAsiaTheme="minorEastAsia"/>
          <w:color w:val="auto"/>
        </w:rPr>
        <w:t xml:space="preserve">em até 10 (dez) dias úteis, </w:t>
      </w:r>
      <w:r w:rsidRPr="00E130F3">
        <w:rPr>
          <w:rFonts w:eastAsia="Times New Roman"/>
          <w:color w:val="auto"/>
        </w:rPr>
        <w:t xml:space="preserve">contados a partir da data de recebimento definitivo do objeto, acompanhado do atesto do Fiscal do contrato. </w:t>
      </w:r>
    </w:p>
    <w:p w14:paraId="6EDC2ADB" w14:textId="77777777" w:rsidR="0018128D" w:rsidRPr="006319B9"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0F650574"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O pagamento será feito por meio de depósito na conta</w:t>
      </w:r>
      <w:r>
        <w:rPr>
          <w:rFonts w:eastAsia="Times New Roman"/>
          <w:color w:val="auto"/>
        </w:rPr>
        <w:t xml:space="preserve"> </w:t>
      </w:r>
      <w:r w:rsidRPr="00E130F3">
        <w:rPr>
          <w:rFonts w:eastAsia="Times New Roman"/>
          <w:color w:val="auto"/>
        </w:rPr>
        <w:t>corrente da CONTRATADA, através de Ordem Bancária, mediante apresentação da respectiva Nota Fiscal/Fatura do serviço;</w:t>
      </w:r>
    </w:p>
    <w:p w14:paraId="318EEA3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52BC06DD"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12601FAF"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0CAC366C"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45B08967"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209408CA" w14:textId="77777777" w:rsidR="0018128D" w:rsidRPr="00C275FA" w:rsidRDefault="0018128D" w:rsidP="0018128D">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6A21F516" w14:textId="77777777" w:rsidR="0018128D" w:rsidRPr="00C275FA" w:rsidRDefault="0018128D" w:rsidP="0018128D">
      <w:pPr>
        <w:pStyle w:val="Default"/>
        <w:spacing w:line="360" w:lineRule="auto"/>
        <w:ind w:firstLine="720"/>
        <w:jc w:val="both"/>
        <w:rPr>
          <w:rFonts w:eastAsia="Times New Roman"/>
          <w:color w:val="auto"/>
        </w:rPr>
      </w:pPr>
    </w:p>
    <w:p w14:paraId="33C446AD" w14:textId="77777777" w:rsidR="0018128D" w:rsidRPr="007755EF"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0BD83417" w14:textId="77777777" w:rsidR="0018128D" w:rsidRPr="00DE738D" w:rsidRDefault="0018128D" w:rsidP="00A75A26">
      <w:pPr>
        <w:pStyle w:val="Default"/>
        <w:numPr>
          <w:ilvl w:val="1"/>
          <w:numId w:val="27"/>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005316A6" w14:textId="77777777" w:rsidR="0018128D" w:rsidRPr="00DE738D" w:rsidRDefault="0018128D" w:rsidP="00A75A26">
      <w:pPr>
        <w:pStyle w:val="Default"/>
        <w:numPr>
          <w:ilvl w:val="2"/>
          <w:numId w:val="27"/>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0E988BF0" w14:textId="77777777" w:rsidR="0018128D" w:rsidRPr="00DE738D" w:rsidRDefault="0018128D" w:rsidP="00A75A26">
      <w:pPr>
        <w:pStyle w:val="Default"/>
        <w:numPr>
          <w:ilvl w:val="2"/>
          <w:numId w:val="27"/>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0D3D416C" w14:textId="77777777" w:rsidR="0018128D" w:rsidRPr="00DE738D" w:rsidRDefault="0018128D" w:rsidP="00A75A26">
      <w:pPr>
        <w:pStyle w:val="Default"/>
        <w:numPr>
          <w:ilvl w:val="2"/>
          <w:numId w:val="27"/>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020375CE" w14:textId="0CB15BD7" w:rsidR="0018128D" w:rsidRDefault="0018128D" w:rsidP="00A75A26">
      <w:pPr>
        <w:pStyle w:val="Default"/>
        <w:numPr>
          <w:ilvl w:val="2"/>
          <w:numId w:val="27"/>
        </w:numPr>
        <w:spacing w:line="360" w:lineRule="auto"/>
        <w:ind w:left="0" w:firstLine="0"/>
        <w:jc w:val="both"/>
        <w:rPr>
          <w:rFonts w:eastAsia="Times New Roman"/>
          <w:color w:val="auto"/>
        </w:rPr>
      </w:pPr>
      <w:r w:rsidRPr="00DE738D">
        <w:rPr>
          <w:rFonts w:eastAsia="Times New Roman"/>
          <w:color w:val="auto"/>
        </w:rPr>
        <w:t>Não manter a proposta, salvo em decorrência de fato superveniente devidamente justificado - prazo de 6 (seis) meses;</w:t>
      </w:r>
    </w:p>
    <w:p w14:paraId="59CB13E4" w14:textId="77777777" w:rsidR="0018128D" w:rsidRPr="00DE738D" w:rsidRDefault="0018128D" w:rsidP="00A75A26">
      <w:pPr>
        <w:pStyle w:val="Default"/>
        <w:numPr>
          <w:ilvl w:val="3"/>
          <w:numId w:val="33"/>
        </w:numPr>
        <w:spacing w:line="360" w:lineRule="auto"/>
        <w:ind w:left="0" w:firstLine="0"/>
        <w:jc w:val="both"/>
        <w:rPr>
          <w:rFonts w:eastAsia="Times New Roman"/>
          <w:color w:val="auto"/>
        </w:rPr>
      </w:pPr>
      <w:r w:rsidRPr="00DE738D">
        <w:rPr>
          <w:rFonts w:eastAsia="Times New Roman"/>
          <w:color w:val="auto"/>
        </w:rPr>
        <w:t xml:space="preserve">Considera-se não manutenção da proposta: </w:t>
      </w:r>
    </w:p>
    <w:p w14:paraId="5EC6FCBC" w14:textId="77777777" w:rsidR="0018128D" w:rsidRPr="00DE738D" w:rsidRDefault="0018128D" w:rsidP="00A75A26">
      <w:pPr>
        <w:pStyle w:val="Default"/>
        <w:numPr>
          <w:ilvl w:val="3"/>
          <w:numId w:val="34"/>
        </w:numPr>
        <w:spacing w:line="360" w:lineRule="auto"/>
        <w:ind w:left="284" w:firstLine="0"/>
        <w:jc w:val="both"/>
        <w:rPr>
          <w:rFonts w:eastAsia="Times New Roman"/>
          <w:color w:val="auto"/>
        </w:rPr>
      </w:pPr>
      <w:r w:rsidRPr="00DE738D">
        <w:rPr>
          <w:rFonts w:eastAsia="Times New Roman"/>
          <w:color w:val="auto"/>
        </w:rPr>
        <w:t xml:space="preserve">a ausência do seu envio; </w:t>
      </w:r>
    </w:p>
    <w:p w14:paraId="12DA925D" w14:textId="77777777" w:rsidR="0018128D" w:rsidRPr="00DE738D" w:rsidRDefault="0018128D" w:rsidP="00A75A26">
      <w:pPr>
        <w:pStyle w:val="Default"/>
        <w:numPr>
          <w:ilvl w:val="3"/>
          <w:numId w:val="34"/>
        </w:numPr>
        <w:spacing w:line="360" w:lineRule="auto"/>
        <w:ind w:left="284" w:firstLine="0"/>
        <w:jc w:val="both"/>
        <w:rPr>
          <w:rFonts w:eastAsia="Times New Roman"/>
          <w:color w:val="auto"/>
        </w:rPr>
      </w:pPr>
      <w:r w:rsidRPr="00DE738D">
        <w:rPr>
          <w:rFonts w:eastAsia="Times New Roman"/>
          <w:color w:val="auto"/>
        </w:rPr>
        <w:t xml:space="preserve">a recusa do seu detalhamento, quando exigido; </w:t>
      </w:r>
    </w:p>
    <w:p w14:paraId="662DB9FF" w14:textId="77777777" w:rsidR="0018128D" w:rsidRPr="00DE738D" w:rsidRDefault="0018128D" w:rsidP="00A75A26">
      <w:pPr>
        <w:pStyle w:val="Default"/>
        <w:numPr>
          <w:ilvl w:val="3"/>
          <w:numId w:val="34"/>
        </w:numPr>
        <w:spacing w:line="360" w:lineRule="auto"/>
        <w:ind w:left="284" w:firstLine="0"/>
        <w:jc w:val="both"/>
        <w:rPr>
          <w:rFonts w:eastAsia="Times New Roman"/>
          <w:color w:val="auto"/>
        </w:rPr>
      </w:pP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03455F08" w14:textId="77777777" w:rsidR="0018128D" w:rsidRPr="00DE738D" w:rsidRDefault="0018128D" w:rsidP="00A75A26">
      <w:pPr>
        <w:pStyle w:val="Default"/>
        <w:numPr>
          <w:ilvl w:val="2"/>
          <w:numId w:val="33"/>
        </w:numPr>
        <w:spacing w:line="360" w:lineRule="auto"/>
        <w:ind w:left="0" w:firstLine="0"/>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175B5EE5" w14:textId="77777777" w:rsidR="0018128D" w:rsidRPr="00DE738D" w:rsidRDefault="0018128D" w:rsidP="00A75A26">
      <w:pPr>
        <w:pStyle w:val="Default"/>
        <w:numPr>
          <w:ilvl w:val="3"/>
          <w:numId w:val="33"/>
        </w:numPr>
        <w:spacing w:line="360" w:lineRule="auto"/>
        <w:ind w:left="0" w:firstLine="0"/>
        <w:jc w:val="both"/>
        <w:rPr>
          <w:rFonts w:eastAsia="Times New Roman"/>
          <w:color w:val="auto"/>
        </w:rPr>
      </w:pPr>
      <w:r w:rsidRPr="00DE738D">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27543862" w14:textId="77777777" w:rsidR="0018128D" w:rsidRPr="00DE738D" w:rsidRDefault="0018128D" w:rsidP="00A75A26">
      <w:pPr>
        <w:pStyle w:val="Default"/>
        <w:numPr>
          <w:ilvl w:val="2"/>
          <w:numId w:val="33"/>
        </w:numPr>
        <w:spacing w:line="360" w:lineRule="auto"/>
        <w:ind w:left="0" w:firstLine="0"/>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6503D321" w14:textId="77777777" w:rsidR="0018128D" w:rsidRPr="00DE738D" w:rsidRDefault="0018128D" w:rsidP="00A75A26">
      <w:pPr>
        <w:pStyle w:val="Default"/>
        <w:numPr>
          <w:ilvl w:val="3"/>
          <w:numId w:val="33"/>
        </w:numPr>
        <w:spacing w:line="360" w:lineRule="auto"/>
        <w:ind w:left="0" w:firstLine="0"/>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5EC7766C" w14:textId="77777777" w:rsidR="0018128D" w:rsidRPr="00DE738D" w:rsidRDefault="0018128D" w:rsidP="00A75A26">
      <w:pPr>
        <w:pStyle w:val="Default"/>
        <w:numPr>
          <w:ilvl w:val="1"/>
          <w:numId w:val="33"/>
        </w:numPr>
        <w:spacing w:line="360" w:lineRule="auto"/>
        <w:ind w:left="0" w:firstLine="0"/>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2516FA7B"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7D941413" w14:textId="77777777" w:rsidR="0018128D" w:rsidRPr="00DE738D" w:rsidRDefault="0018128D" w:rsidP="00A75A26">
      <w:pPr>
        <w:pStyle w:val="Default"/>
        <w:numPr>
          <w:ilvl w:val="3"/>
          <w:numId w:val="35"/>
        </w:numPr>
        <w:spacing w:after="240" w:line="360" w:lineRule="auto"/>
        <w:ind w:left="0" w:firstLine="0"/>
        <w:jc w:val="both"/>
        <w:rPr>
          <w:rFonts w:eastAsia="Times New Roman"/>
          <w:color w:val="auto"/>
        </w:rPr>
      </w:pPr>
      <w:r w:rsidRPr="00DE738D">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34D32379"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  </w:t>
      </w:r>
    </w:p>
    <w:p w14:paraId="2304BB7D"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07997EC8"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compensatória de 20% sobre a parcela inadimplida ou, sobre o valor da fatura correspondente ao período que tenha ocorrido a falta, em caso de inexecução parcial. </w:t>
      </w:r>
    </w:p>
    <w:p w14:paraId="26A1865D" w14:textId="77777777" w:rsidR="0018128D" w:rsidRPr="00DE738D" w:rsidRDefault="0018128D" w:rsidP="00A75A26">
      <w:pPr>
        <w:pStyle w:val="Default"/>
        <w:numPr>
          <w:ilvl w:val="4"/>
          <w:numId w:val="35"/>
        </w:numPr>
        <w:spacing w:line="360" w:lineRule="auto"/>
        <w:ind w:left="0" w:firstLine="0"/>
        <w:jc w:val="both"/>
        <w:rPr>
          <w:rFonts w:eastAsia="Times New Roman"/>
          <w:color w:val="auto"/>
        </w:rPr>
      </w:pPr>
      <w:r w:rsidRPr="00DE738D">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1DAC711C"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Multa compensatória de 30% sobre o valor total do contrato, na hipótese de inexecução total. </w:t>
      </w:r>
    </w:p>
    <w:p w14:paraId="7B7BF20B" w14:textId="77777777" w:rsidR="0018128D" w:rsidRPr="00DE738D" w:rsidRDefault="0018128D" w:rsidP="00A75A26">
      <w:pPr>
        <w:pStyle w:val="Default"/>
        <w:numPr>
          <w:ilvl w:val="4"/>
          <w:numId w:val="35"/>
        </w:numPr>
        <w:spacing w:line="360" w:lineRule="auto"/>
        <w:ind w:left="0" w:firstLine="0"/>
        <w:jc w:val="both"/>
        <w:rPr>
          <w:rFonts w:eastAsia="Times New Roman"/>
          <w:color w:val="auto"/>
        </w:rPr>
      </w:pPr>
      <w:r w:rsidRPr="00DE738D">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5D019D02"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21F1503D"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419FE6F6"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2E6C4B0D"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0B8809D8"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7CEE47F5"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5C4B6D73" w14:textId="77777777" w:rsidR="0018128D" w:rsidRPr="00DE738D" w:rsidRDefault="0018128D" w:rsidP="00A75A26">
      <w:pPr>
        <w:pStyle w:val="Default"/>
        <w:numPr>
          <w:ilvl w:val="3"/>
          <w:numId w:val="35"/>
        </w:numPr>
        <w:spacing w:line="360" w:lineRule="auto"/>
        <w:ind w:left="0" w:firstLine="0"/>
        <w:jc w:val="both"/>
        <w:rPr>
          <w:rFonts w:eastAsia="Times New Roman"/>
          <w:color w:val="auto"/>
        </w:rPr>
      </w:pPr>
      <w:r w:rsidRPr="00DE738D">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54B2C0E6"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689F1583"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3A093A40"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0F0C862A"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Reparação integral do dano causado à Administração Pública; </w:t>
      </w:r>
    </w:p>
    <w:p w14:paraId="6E83B5B9"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Pagamento da multa; </w:t>
      </w:r>
    </w:p>
    <w:p w14:paraId="4DDF6A73"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0F039B84"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Cumprimento das condições de reabilitação definidas no ato sancionador; </w:t>
      </w:r>
    </w:p>
    <w:p w14:paraId="1871D359"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61C5C03E"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7A6CEC3A"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3FAF67E1"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Descontado dos créditos que a contratada fizer jus, no âmbito da mesma contratação;</w:t>
      </w:r>
    </w:p>
    <w:p w14:paraId="4730F17D"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 Descontado da garantia contratual; </w:t>
      </w:r>
    </w:p>
    <w:p w14:paraId="3BAD1E94" w14:textId="77777777" w:rsidR="0018128D" w:rsidRPr="00DE738D" w:rsidRDefault="0018128D" w:rsidP="00A75A26">
      <w:pPr>
        <w:pStyle w:val="Default"/>
        <w:numPr>
          <w:ilvl w:val="2"/>
          <w:numId w:val="35"/>
        </w:numPr>
        <w:spacing w:line="360" w:lineRule="auto"/>
        <w:ind w:left="0" w:firstLine="0"/>
        <w:jc w:val="both"/>
        <w:rPr>
          <w:rFonts w:eastAsia="Times New Roman"/>
          <w:color w:val="auto"/>
        </w:rPr>
      </w:pPr>
      <w:r w:rsidRPr="00DE738D">
        <w:rPr>
          <w:rFonts w:eastAsia="Times New Roman"/>
          <w:color w:val="auto"/>
        </w:rPr>
        <w:t xml:space="preserve">Cobrado judicialmente. </w:t>
      </w:r>
    </w:p>
    <w:p w14:paraId="7B7AE941"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A Administração deverá, no prazo máximo de 15 (quinze) dias úteis, contado da data da de aplicação da sanção, informar e manter atualizados os dados relativos às sanções aplicadas, para fins de publicidade no Cadastro Nacional de Empresas Inidôneas e Suspensas (Ceis) e no Cadastro Nacional de Empresas Punidas (Cnep).  </w:t>
      </w:r>
    </w:p>
    <w:p w14:paraId="35536C7B" w14:textId="77777777" w:rsidR="0018128D" w:rsidRPr="00DE738D" w:rsidRDefault="0018128D" w:rsidP="00A75A26">
      <w:pPr>
        <w:pStyle w:val="Default"/>
        <w:numPr>
          <w:ilvl w:val="1"/>
          <w:numId w:val="35"/>
        </w:numPr>
        <w:spacing w:before="240" w:line="360" w:lineRule="auto"/>
        <w:ind w:left="0" w:firstLine="0"/>
        <w:jc w:val="both"/>
        <w:rPr>
          <w:rFonts w:eastAsia="Times New Roman"/>
          <w:color w:val="auto"/>
        </w:rPr>
      </w:pPr>
      <w:r w:rsidRPr="00DE738D">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5C758CEA" w14:textId="77777777" w:rsidR="0018128D" w:rsidRPr="00C275FA" w:rsidRDefault="0018128D" w:rsidP="0018128D">
      <w:pPr>
        <w:pStyle w:val="Default"/>
        <w:spacing w:line="360" w:lineRule="auto"/>
        <w:ind w:firstLine="720"/>
        <w:jc w:val="both"/>
        <w:rPr>
          <w:rFonts w:eastAsia="Times New Roman"/>
          <w:color w:val="auto"/>
        </w:rPr>
      </w:pPr>
    </w:p>
    <w:p w14:paraId="24ABCBDE" w14:textId="77777777" w:rsidR="0018128D" w:rsidRPr="00C275FA" w:rsidRDefault="0018128D" w:rsidP="0018128D">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6DB8DBD6" w14:textId="77777777" w:rsidR="0018128D" w:rsidRPr="00291CFB" w:rsidRDefault="0018128D" w:rsidP="0018128D">
      <w:pPr>
        <w:pStyle w:val="PargrafodaLista"/>
        <w:numPr>
          <w:ilvl w:val="1"/>
          <w:numId w:val="27"/>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67D698ED" w14:textId="77777777" w:rsidR="0018128D" w:rsidRPr="00A03D6E"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2EB5A36D" w14:textId="77777777" w:rsidR="0018128D"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094B5296" w14:textId="77777777" w:rsidR="0018128D" w:rsidRPr="00C275FA" w:rsidRDefault="0018128D" w:rsidP="0018128D">
      <w:pPr>
        <w:pStyle w:val="Default"/>
        <w:spacing w:before="240" w:line="360" w:lineRule="auto"/>
        <w:ind w:left="357" w:firstLine="357"/>
        <w:jc w:val="both"/>
        <w:rPr>
          <w:rFonts w:eastAsia="Times New Roman"/>
          <w:color w:val="auto"/>
        </w:rPr>
      </w:pPr>
    </w:p>
    <w:p w14:paraId="29ABEAA2" w14:textId="77777777" w:rsidR="0018128D" w:rsidRPr="00C275FA" w:rsidRDefault="0018128D" w:rsidP="0018128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18128D" w:rsidRPr="00E7240A" w14:paraId="369B0F5A" w14:textId="77777777" w:rsidTr="00C4725E">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43550DC9" w14:textId="77777777" w:rsidR="0018128D" w:rsidRPr="00E7240A" w:rsidRDefault="0018128D" w:rsidP="00C4725E">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30FEB60E" w14:textId="77777777" w:rsidR="0018128D" w:rsidRPr="00E7240A" w:rsidRDefault="0018128D" w:rsidP="00C4725E">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18128D" w:rsidRPr="00E7240A" w14:paraId="59AAD070" w14:textId="77777777" w:rsidTr="00C4725E">
        <w:trPr>
          <w:trHeight w:val="1110"/>
        </w:trPr>
        <w:tc>
          <w:tcPr>
            <w:tcW w:w="6600" w:type="dxa"/>
            <w:tcBorders>
              <w:left w:val="single" w:sz="1" w:space="0" w:color="000000" w:themeColor="text1"/>
              <w:bottom w:val="single" w:sz="1" w:space="0" w:color="000000" w:themeColor="text1"/>
            </w:tcBorders>
            <w:shd w:val="clear" w:color="auto" w:fill="auto"/>
          </w:tcPr>
          <w:p w14:paraId="75A8C87B" w14:textId="77777777" w:rsidR="0018128D" w:rsidRPr="00E7240A" w:rsidRDefault="0018128D" w:rsidP="0018128D">
            <w:pPr>
              <w:pStyle w:val="PargrafodaLista"/>
              <w:numPr>
                <w:ilvl w:val="0"/>
                <w:numId w:val="32"/>
              </w:numPr>
              <w:spacing w:before="57" w:after="57" w:line="360" w:lineRule="auto"/>
              <w:jc w:val="both"/>
              <w:rPr>
                <w:rFonts w:ascii="Times New Roman" w:eastAsia="Times New Roman" w:hAnsi="Times New Roman" w:cs="Times New Roman"/>
                <w:color w:val="000000" w:themeColor="text1"/>
                <w:sz w:val="20"/>
                <w:szCs w:val="20"/>
              </w:rPr>
            </w:pPr>
            <w:r w:rsidRPr="6E268448">
              <w:rPr>
                <w:rFonts w:ascii="Times New Roman" w:eastAsia="Times New Roman" w:hAnsi="Times New Roman" w:cs="Times New Roman"/>
                <w:color w:val="000000" w:themeColor="text1"/>
                <w:sz w:val="20"/>
                <w:szCs w:val="20"/>
              </w:rPr>
              <w:t>Descumprimento de obrigação contratual</w:t>
            </w:r>
          </w:p>
          <w:p w14:paraId="67202040" w14:textId="77777777" w:rsidR="0018128D" w:rsidRPr="00E7240A" w:rsidRDefault="0018128D" w:rsidP="00C4725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568223F8" w14:textId="77777777" w:rsidR="0018128D" w:rsidRPr="00E7240A" w:rsidRDefault="0018128D" w:rsidP="00C4725E">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18128D" w:rsidRPr="00E7240A" w14:paraId="24F93D1E" w14:textId="77777777" w:rsidTr="00C4725E">
        <w:trPr>
          <w:trHeight w:val="4110"/>
        </w:trPr>
        <w:tc>
          <w:tcPr>
            <w:tcW w:w="6600" w:type="dxa"/>
            <w:tcBorders>
              <w:left w:val="single" w:sz="1" w:space="0" w:color="000000" w:themeColor="text1"/>
              <w:bottom w:val="single" w:sz="4" w:space="0" w:color="auto"/>
            </w:tcBorders>
            <w:shd w:val="clear" w:color="auto" w:fill="auto"/>
          </w:tcPr>
          <w:p w14:paraId="090B2F62"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0D257C26"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72188476"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319E87B9"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29C98A91"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33D5A5A8" w14:textId="77777777" w:rsidR="0018128D" w:rsidRPr="00E7240A" w:rsidRDefault="0018128D" w:rsidP="00C4725E">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2640F4BA" w14:textId="77777777" w:rsidR="0018128D" w:rsidRPr="00E7240A" w:rsidRDefault="0018128D" w:rsidP="00C4725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18128D" w:rsidRPr="00E7240A" w14:paraId="3C19DBFA" w14:textId="77777777" w:rsidTr="00C4725E">
        <w:tc>
          <w:tcPr>
            <w:tcW w:w="6600" w:type="dxa"/>
            <w:tcBorders>
              <w:top w:val="single" w:sz="4" w:space="0" w:color="auto"/>
              <w:left w:val="single" w:sz="4" w:space="0" w:color="auto"/>
              <w:bottom w:val="single" w:sz="4" w:space="0" w:color="auto"/>
              <w:right w:val="single" w:sz="4" w:space="0" w:color="auto"/>
            </w:tcBorders>
            <w:shd w:val="clear" w:color="auto" w:fill="auto"/>
          </w:tcPr>
          <w:p w14:paraId="08AA6E8F"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0D602271"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3C160F42"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35543862"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7B03E688" w14:textId="77777777" w:rsidR="0018128D" w:rsidRPr="00E7240A" w:rsidRDefault="0018128D" w:rsidP="00C4725E">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5FAFF4ED" w14:textId="77777777" w:rsidR="0018128D" w:rsidRPr="00E7240A" w:rsidRDefault="0018128D" w:rsidP="00C4725E">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1" w:anchor="art5">
              <w:r w:rsidRPr="7ECB85F5">
                <w:rPr>
                  <w:rStyle w:val="Hyperlink"/>
                  <w:rFonts w:ascii="Times New Roman" w:eastAsia="Times New Roman" w:hAnsi="Times New Roman" w:cs="Times New Roman"/>
                  <w:sz w:val="20"/>
                  <w:szCs w:val="20"/>
                </w:rPr>
                <w:t>art. 5º da Lei nº 12.846, de 1º de agosto de 2013.</w:t>
              </w:r>
            </w:hyperlink>
          </w:p>
          <w:p w14:paraId="7C541C4F" w14:textId="77777777" w:rsidR="0018128D" w:rsidRPr="00E7240A" w:rsidRDefault="0018128D" w:rsidP="00C4725E">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41CEF856" w14:textId="77777777" w:rsidR="0018128D" w:rsidRPr="00E7240A" w:rsidRDefault="0018128D" w:rsidP="00C4725E">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4718CC67" w14:textId="77777777" w:rsidR="0018128D" w:rsidRDefault="0018128D" w:rsidP="0018128D">
      <w:pPr>
        <w:pStyle w:val="Default"/>
        <w:spacing w:line="360" w:lineRule="auto"/>
        <w:jc w:val="both"/>
        <w:rPr>
          <w:rFonts w:eastAsia="Times New Roman"/>
          <w:color w:val="auto"/>
        </w:rPr>
      </w:pPr>
    </w:p>
    <w:p w14:paraId="1D66694E" w14:textId="77777777" w:rsidR="0018128D" w:rsidRPr="00C275FA"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7CE29FA9" w14:textId="77777777" w:rsidR="0018128D" w:rsidRPr="00C275FA" w:rsidRDefault="0018128D" w:rsidP="0018128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18128D" w:rsidRPr="00C275FA" w14:paraId="1038B1F3" w14:textId="77777777" w:rsidTr="00C4725E">
        <w:trPr>
          <w:trHeight w:val="279"/>
          <w:jc w:val="center"/>
        </w:trPr>
        <w:tc>
          <w:tcPr>
            <w:tcW w:w="3526" w:type="dxa"/>
            <w:shd w:val="clear" w:color="auto" w:fill="BFBFBF" w:themeFill="background1" w:themeFillShade="BF"/>
          </w:tcPr>
          <w:p w14:paraId="1D141DCB"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27C7B0EA"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32DAD561"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18128D" w:rsidRPr="00C275FA" w14:paraId="6ED0DEEB" w14:textId="77777777" w:rsidTr="00C4725E">
        <w:trPr>
          <w:trHeight w:val="107"/>
          <w:jc w:val="center"/>
        </w:trPr>
        <w:tc>
          <w:tcPr>
            <w:tcW w:w="3526" w:type="dxa"/>
          </w:tcPr>
          <w:p w14:paraId="6A0F643B"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6B852B09"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18128D" w:rsidRPr="00C275FA" w14:paraId="32047C79" w14:textId="77777777" w:rsidTr="00C4725E">
        <w:trPr>
          <w:trHeight w:val="107"/>
          <w:jc w:val="center"/>
        </w:trPr>
        <w:tc>
          <w:tcPr>
            <w:tcW w:w="3526" w:type="dxa"/>
          </w:tcPr>
          <w:p w14:paraId="5E04D7E1"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7ADAABFA"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18128D" w:rsidRPr="00C275FA" w14:paraId="4C50D881" w14:textId="77777777" w:rsidTr="00C4725E">
        <w:trPr>
          <w:trHeight w:val="107"/>
          <w:jc w:val="center"/>
        </w:trPr>
        <w:tc>
          <w:tcPr>
            <w:tcW w:w="3526" w:type="dxa"/>
          </w:tcPr>
          <w:p w14:paraId="71280219"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26E5789D"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18128D" w:rsidRPr="00C275FA" w14:paraId="2609C062" w14:textId="77777777" w:rsidTr="00C4725E">
        <w:trPr>
          <w:trHeight w:val="107"/>
          <w:jc w:val="center"/>
        </w:trPr>
        <w:tc>
          <w:tcPr>
            <w:tcW w:w="3526" w:type="dxa"/>
          </w:tcPr>
          <w:p w14:paraId="548EB2EA"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0172A3FD"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18128D" w:rsidRPr="00C275FA" w14:paraId="05064F83" w14:textId="77777777" w:rsidTr="00C4725E">
        <w:trPr>
          <w:trHeight w:val="107"/>
          <w:jc w:val="center"/>
        </w:trPr>
        <w:tc>
          <w:tcPr>
            <w:tcW w:w="3526" w:type="dxa"/>
          </w:tcPr>
          <w:p w14:paraId="5F262E2B"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56C6004C"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18128D" w:rsidRPr="00C275FA" w14:paraId="73EEC7B6" w14:textId="77777777" w:rsidTr="00C4725E">
        <w:trPr>
          <w:trHeight w:val="107"/>
          <w:jc w:val="center"/>
        </w:trPr>
        <w:tc>
          <w:tcPr>
            <w:tcW w:w="3526" w:type="dxa"/>
          </w:tcPr>
          <w:p w14:paraId="5E24F748"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4B2F62D1" w14:textId="77777777" w:rsidR="0018128D" w:rsidRPr="00C275FA" w:rsidRDefault="0018128D" w:rsidP="00C4725E">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2A707E84" w14:textId="77777777" w:rsidR="0018128D" w:rsidRPr="00C275FA" w:rsidRDefault="0018128D" w:rsidP="0018128D">
      <w:pPr>
        <w:pStyle w:val="Default"/>
        <w:spacing w:line="360" w:lineRule="auto"/>
        <w:ind w:firstLine="709"/>
        <w:jc w:val="both"/>
        <w:rPr>
          <w:rFonts w:eastAsia="Times New Roman"/>
          <w:color w:val="auto"/>
        </w:rPr>
      </w:pPr>
    </w:p>
    <w:p w14:paraId="38B248EC" w14:textId="77777777" w:rsidR="0018128D" w:rsidRPr="00C275FA"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2AA45DB4" w14:textId="77777777" w:rsidR="0018128D" w:rsidRPr="00C275FA" w:rsidRDefault="0018128D" w:rsidP="0018128D">
      <w:pPr>
        <w:pStyle w:val="Default"/>
        <w:spacing w:line="360" w:lineRule="auto"/>
        <w:ind w:firstLine="709"/>
        <w:rPr>
          <w:rFonts w:eastAsia="Times New Roman"/>
          <w:color w:val="auto"/>
        </w:rPr>
      </w:pPr>
    </w:p>
    <w:p w14:paraId="7EAB7F4E" w14:textId="77777777" w:rsidR="0018128D" w:rsidRPr="00C275FA" w:rsidRDefault="0018128D" w:rsidP="0018128D">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18128D" w14:paraId="6DC31C66" w14:textId="77777777" w:rsidTr="00C4725E">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3FC707"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18128D" w14:paraId="6F723209" w14:textId="77777777" w:rsidTr="00C4725E">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125727B"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A5DB95"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E5C98F"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18128D" w14:paraId="37C458C6"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0AF6813A"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2DC84E96"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787B9307"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8128D" w14:paraId="22C63100" w14:textId="77777777" w:rsidTr="00C4725E">
        <w:trPr>
          <w:trHeight w:val="105"/>
        </w:trPr>
        <w:tc>
          <w:tcPr>
            <w:tcW w:w="675" w:type="dxa"/>
            <w:tcBorders>
              <w:top w:val="single" w:sz="6" w:space="0" w:color="auto"/>
              <w:left w:val="single" w:sz="6" w:space="0" w:color="auto"/>
              <w:bottom w:val="single" w:sz="6" w:space="0" w:color="auto"/>
              <w:right w:val="single" w:sz="6" w:space="0" w:color="auto"/>
            </w:tcBorders>
          </w:tcPr>
          <w:p w14:paraId="028E66B2"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2C066812"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0CD3573B"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8128D" w14:paraId="1BF68389" w14:textId="77777777" w:rsidTr="00C4725E">
        <w:trPr>
          <w:trHeight w:val="285"/>
        </w:trPr>
        <w:tc>
          <w:tcPr>
            <w:tcW w:w="675" w:type="dxa"/>
            <w:tcBorders>
              <w:top w:val="single" w:sz="6" w:space="0" w:color="auto"/>
              <w:left w:val="single" w:sz="6" w:space="0" w:color="auto"/>
              <w:bottom w:val="single" w:sz="6" w:space="0" w:color="auto"/>
              <w:right w:val="single" w:sz="6" w:space="0" w:color="auto"/>
            </w:tcBorders>
          </w:tcPr>
          <w:p w14:paraId="28529A2E"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03F18DA3"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64D35F29"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8128D" w14:paraId="775B0E09" w14:textId="77777777" w:rsidTr="00C4725E">
        <w:trPr>
          <w:trHeight w:val="285"/>
        </w:trPr>
        <w:tc>
          <w:tcPr>
            <w:tcW w:w="675" w:type="dxa"/>
            <w:tcBorders>
              <w:top w:val="single" w:sz="6" w:space="0" w:color="auto"/>
              <w:left w:val="single" w:sz="6" w:space="0" w:color="auto"/>
              <w:bottom w:val="single" w:sz="6" w:space="0" w:color="auto"/>
              <w:right w:val="single" w:sz="6" w:space="0" w:color="auto"/>
            </w:tcBorders>
          </w:tcPr>
          <w:p w14:paraId="5B20D7DD"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160622DD"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04742924"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8128D" w14:paraId="052A3A8A"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7B3665CE"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70EC7776"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3AAFCBCD"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8128D" w14:paraId="519820D6" w14:textId="77777777" w:rsidTr="00C4725E">
        <w:trPr>
          <w:trHeight w:val="285"/>
        </w:trPr>
        <w:tc>
          <w:tcPr>
            <w:tcW w:w="675" w:type="dxa"/>
            <w:tcBorders>
              <w:top w:val="single" w:sz="6" w:space="0" w:color="auto"/>
              <w:left w:val="single" w:sz="6" w:space="0" w:color="auto"/>
              <w:bottom w:val="single" w:sz="6" w:space="0" w:color="auto"/>
              <w:right w:val="single" w:sz="6" w:space="0" w:color="auto"/>
            </w:tcBorders>
          </w:tcPr>
          <w:p w14:paraId="4014630D"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6928B5EC"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59D81485"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8128D" w14:paraId="68C28532" w14:textId="77777777" w:rsidTr="00C4725E">
        <w:trPr>
          <w:trHeight w:val="285"/>
        </w:trPr>
        <w:tc>
          <w:tcPr>
            <w:tcW w:w="675" w:type="dxa"/>
            <w:tcBorders>
              <w:top w:val="single" w:sz="6" w:space="0" w:color="auto"/>
              <w:left w:val="single" w:sz="6" w:space="0" w:color="auto"/>
              <w:bottom w:val="single" w:sz="6" w:space="0" w:color="auto"/>
              <w:right w:val="single" w:sz="6" w:space="0" w:color="auto"/>
            </w:tcBorders>
          </w:tcPr>
          <w:p w14:paraId="54308882"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64F1CA1A"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2AE33059"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8128D" w14:paraId="5EFBE9C8" w14:textId="77777777" w:rsidTr="00C4725E">
        <w:trPr>
          <w:trHeight w:val="105"/>
        </w:trPr>
        <w:tc>
          <w:tcPr>
            <w:tcW w:w="675" w:type="dxa"/>
            <w:tcBorders>
              <w:top w:val="single" w:sz="6" w:space="0" w:color="auto"/>
              <w:left w:val="single" w:sz="6" w:space="0" w:color="auto"/>
              <w:bottom w:val="single" w:sz="6" w:space="0" w:color="auto"/>
              <w:right w:val="single" w:sz="6" w:space="0" w:color="auto"/>
            </w:tcBorders>
          </w:tcPr>
          <w:p w14:paraId="097CB838"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10B3E2C9"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600FF376"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8128D" w14:paraId="483F8457"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0144776D"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3AA634F0"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1549B8B4"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8128D" w14:paraId="56FF365B"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47C4EB3A"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6880DFF1"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331C1285"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18128D" w14:paraId="5EBC5B75" w14:textId="77777777" w:rsidTr="00C4725E">
        <w:trPr>
          <w:trHeight w:val="285"/>
        </w:trPr>
        <w:tc>
          <w:tcPr>
            <w:tcW w:w="675" w:type="dxa"/>
            <w:tcBorders>
              <w:top w:val="single" w:sz="6" w:space="0" w:color="auto"/>
              <w:left w:val="single" w:sz="6" w:space="0" w:color="auto"/>
              <w:bottom w:val="single" w:sz="6" w:space="0" w:color="auto"/>
              <w:right w:val="single" w:sz="6" w:space="0" w:color="auto"/>
            </w:tcBorders>
          </w:tcPr>
          <w:p w14:paraId="17D52A30"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7C020D8"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50B8DB28"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18128D" w14:paraId="2B3BE854"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7B0D6DBE"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4D3814D9" w14:textId="77777777" w:rsidR="0018128D" w:rsidRDefault="0018128D" w:rsidP="00C4725E">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7B84A85D"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18128D" w14:paraId="60795B9B" w14:textId="77777777" w:rsidTr="00C4725E">
        <w:trPr>
          <w:trHeight w:val="375"/>
        </w:trPr>
        <w:tc>
          <w:tcPr>
            <w:tcW w:w="675" w:type="dxa"/>
            <w:tcBorders>
              <w:top w:val="single" w:sz="6" w:space="0" w:color="auto"/>
              <w:left w:val="single" w:sz="6" w:space="0" w:color="auto"/>
              <w:bottom w:val="single" w:sz="6" w:space="0" w:color="auto"/>
              <w:right w:val="single" w:sz="6" w:space="0" w:color="auto"/>
            </w:tcBorders>
          </w:tcPr>
          <w:p w14:paraId="344CB1C3"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7D4C581C"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74DD14F1"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8128D" w14:paraId="4E291835"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2ABC4577"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13C1BF40" w14:textId="77777777" w:rsidR="0018128D" w:rsidRDefault="0018128D" w:rsidP="00C4725E">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0AD2A5A3"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18128D" w14:paraId="5D43284E" w14:textId="77777777" w:rsidTr="00C4725E">
        <w:trPr>
          <w:trHeight w:val="105"/>
        </w:trPr>
        <w:tc>
          <w:tcPr>
            <w:tcW w:w="675" w:type="dxa"/>
            <w:tcBorders>
              <w:top w:val="single" w:sz="6" w:space="0" w:color="auto"/>
              <w:left w:val="single" w:sz="6" w:space="0" w:color="auto"/>
              <w:bottom w:val="single" w:sz="6" w:space="0" w:color="auto"/>
              <w:right w:val="single" w:sz="6" w:space="0" w:color="auto"/>
            </w:tcBorders>
          </w:tcPr>
          <w:p w14:paraId="199299B9"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28201A56" w14:textId="77777777" w:rsidR="0018128D" w:rsidRDefault="0018128D" w:rsidP="00C4725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729F1DB2"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8128D" w14:paraId="2085B54D" w14:textId="77777777" w:rsidTr="00C4725E">
        <w:trPr>
          <w:trHeight w:val="195"/>
        </w:trPr>
        <w:tc>
          <w:tcPr>
            <w:tcW w:w="675" w:type="dxa"/>
            <w:tcBorders>
              <w:top w:val="single" w:sz="6" w:space="0" w:color="auto"/>
              <w:left w:val="single" w:sz="6" w:space="0" w:color="auto"/>
              <w:bottom w:val="single" w:sz="6" w:space="0" w:color="auto"/>
              <w:right w:val="single" w:sz="6" w:space="0" w:color="auto"/>
            </w:tcBorders>
          </w:tcPr>
          <w:p w14:paraId="746E0EE0"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3D3D9FB6" w14:textId="77777777" w:rsidR="0018128D" w:rsidRDefault="0018128D" w:rsidP="00C4725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0024D82C"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18128D" w14:paraId="08FDC64E" w14:textId="77777777" w:rsidTr="00C4725E">
        <w:trPr>
          <w:trHeight w:val="105"/>
        </w:trPr>
        <w:tc>
          <w:tcPr>
            <w:tcW w:w="675" w:type="dxa"/>
            <w:tcBorders>
              <w:top w:val="single" w:sz="6" w:space="0" w:color="auto"/>
              <w:left w:val="single" w:sz="6" w:space="0" w:color="auto"/>
              <w:bottom w:val="single" w:sz="6" w:space="0" w:color="auto"/>
              <w:right w:val="single" w:sz="6" w:space="0" w:color="auto"/>
            </w:tcBorders>
          </w:tcPr>
          <w:p w14:paraId="44890FFC"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59370392" w14:textId="77777777" w:rsidR="0018128D" w:rsidRDefault="0018128D" w:rsidP="00C4725E">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2E90EDC1" w14:textId="77777777" w:rsidR="0018128D" w:rsidRDefault="0018128D" w:rsidP="00C4725E">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0AAD52DD" w14:textId="77777777" w:rsidR="0018128D" w:rsidRDefault="0018128D" w:rsidP="0018128D">
      <w:pPr>
        <w:pStyle w:val="Default"/>
        <w:spacing w:line="360" w:lineRule="auto"/>
        <w:jc w:val="center"/>
        <w:rPr>
          <w:rFonts w:eastAsia="Times New Roman"/>
          <w:b/>
          <w:bCs/>
          <w:color w:val="auto"/>
          <w:sz w:val="20"/>
          <w:szCs w:val="20"/>
        </w:rPr>
      </w:pPr>
    </w:p>
    <w:p w14:paraId="3650A86D" w14:textId="77777777" w:rsidR="0018128D" w:rsidRPr="00C275FA"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4F5A23A8" w14:textId="77777777" w:rsidR="0018128D" w:rsidRPr="00C275FA" w:rsidRDefault="0018128D" w:rsidP="0018128D">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5016B780" w14:textId="77777777" w:rsidR="0018128D" w:rsidRPr="00C275FA" w:rsidRDefault="0018128D" w:rsidP="0018128D">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18128D" w14:paraId="09428865" w14:textId="77777777" w:rsidTr="00C4725E">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128A90AE"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br/>
            </w:r>
          </w:p>
          <w:p w14:paraId="68DD1B41"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056B87B9"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18128D" w14:paraId="693B08ED" w14:textId="77777777" w:rsidTr="00C4725E">
        <w:trPr>
          <w:trHeight w:val="300"/>
        </w:trPr>
        <w:tc>
          <w:tcPr>
            <w:tcW w:w="1327" w:type="dxa"/>
            <w:vMerge/>
            <w:vAlign w:val="center"/>
          </w:tcPr>
          <w:p w14:paraId="58774968" w14:textId="77777777" w:rsidR="0018128D" w:rsidRDefault="0018128D" w:rsidP="00C4725E">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7347F5E4"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2AB1273D"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18128D" w14:paraId="6237B5C4" w14:textId="77777777" w:rsidTr="00C4725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18D26E07"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5BD3B4AB"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63C6F1D0"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18128D" w14:paraId="0C875BF5" w14:textId="77777777" w:rsidTr="00C4725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E450E0D"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0A38C724"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F3C6F51"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18128D" w14:paraId="609B6FC6" w14:textId="77777777" w:rsidTr="00C4725E">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3FDF7E33"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7BF94D34"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2613CC90"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18128D" w14:paraId="771DA7A6" w14:textId="77777777" w:rsidTr="00C4725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61BF95D"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3A3A36FB"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665C1EFC"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18128D" w14:paraId="09CD69E7" w14:textId="77777777" w:rsidTr="00C4725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7B5800B"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18FDFFD6"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634C866A"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18128D" w14:paraId="6EACE424" w14:textId="77777777" w:rsidTr="00C4725E">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8646AC8"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2F614669"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41D6F61F" w14:textId="77777777" w:rsidR="0018128D" w:rsidRDefault="0018128D" w:rsidP="00C4725E">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79B933F5" w14:textId="77777777" w:rsidR="0018128D" w:rsidRPr="00C275FA" w:rsidRDefault="0018128D" w:rsidP="0018128D">
      <w:pPr>
        <w:pStyle w:val="Default"/>
        <w:spacing w:line="360" w:lineRule="auto"/>
        <w:ind w:firstLine="709"/>
        <w:jc w:val="both"/>
        <w:rPr>
          <w:rFonts w:eastAsia="Times New Roman"/>
          <w:color w:val="auto"/>
        </w:rPr>
      </w:pPr>
    </w:p>
    <w:p w14:paraId="510B3A02" w14:textId="77777777" w:rsidR="0018128D" w:rsidRDefault="0018128D" w:rsidP="0018128D">
      <w:pPr>
        <w:pStyle w:val="Default"/>
        <w:spacing w:line="360" w:lineRule="auto"/>
        <w:ind w:left="360"/>
        <w:jc w:val="both"/>
        <w:rPr>
          <w:rFonts w:eastAsia="Times New Roman"/>
          <w:color w:val="auto"/>
          <w:highlight w:val="yellow"/>
        </w:rPr>
      </w:pPr>
    </w:p>
    <w:p w14:paraId="36BD503E" w14:textId="77777777" w:rsidR="0018128D" w:rsidRPr="00E85DD8" w:rsidRDefault="0018128D" w:rsidP="0018128D">
      <w:pPr>
        <w:pStyle w:val="Default"/>
        <w:numPr>
          <w:ilvl w:val="0"/>
          <w:numId w:val="27"/>
        </w:numPr>
        <w:shd w:val="clear" w:color="auto" w:fill="D9D9D9" w:themeFill="background1" w:themeFillShade="D9"/>
        <w:ind w:left="0" w:firstLine="0"/>
        <w:jc w:val="both"/>
        <w:rPr>
          <w:rFonts w:eastAsia="Times New Roman"/>
          <w:color w:val="auto"/>
          <w:sz w:val="20"/>
          <w:szCs w:val="20"/>
        </w:rPr>
      </w:pPr>
      <w:r w:rsidRPr="00E85DD8">
        <w:rPr>
          <w:rFonts w:eastAsia="Times New Roman"/>
          <w:b/>
          <w:bCs/>
          <w:color w:val="auto"/>
        </w:rPr>
        <w:t xml:space="preserve">CRITÉRIOS DE QUALIFICAÇÃO TÉCNICA </w:t>
      </w:r>
    </w:p>
    <w:p w14:paraId="17BC3B7C"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Para fins de habilitação, a licitante deverá apresentar os seguintes atestados ou declarações:</w:t>
      </w:r>
    </w:p>
    <w:p w14:paraId="2B42B92C"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Certidão de Registro ou Inscrição no Conselho Regional de Engenharia, Arquitetura e Agronomia – CREA, em nome da licitante ou em nome de um profissional devidamente contratado pela licitante, com validade na data de abertura do certame, comprovando habilitação para o desempenho dos serviços do objeto do presente documento, emitida pelo CREA da jurisdição da sede da licitante ou da base de uma de suas filiais.</w:t>
      </w:r>
    </w:p>
    <w:p w14:paraId="39C69E82" w14:textId="77777777" w:rsidR="0018128D" w:rsidRPr="00E85DD8" w:rsidRDefault="0018128D" w:rsidP="0018128D">
      <w:pPr>
        <w:pStyle w:val="Default"/>
        <w:numPr>
          <w:ilvl w:val="2"/>
          <w:numId w:val="27"/>
        </w:numPr>
        <w:spacing w:line="360" w:lineRule="auto"/>
        <w:ind w:left="2160"/>
        <w:jc w:val="both"/>
        <w:rPr>
          <w:rFonts w:eastAsia="Times New Roman"/>
          <w:color w:val="auto"/>
        </w:rPr>
      </w:pPr>
      <w:r w:rsidRPr="00E85DD8">
        <w:rPr>
          <w:rFonts w:eastAsia="Times New Roman"/>
          <w:color w:val="auto"/>
        </w:rPr>
        <w:t>No caso de a licitante ter a sua sede fora da jurisdição do Distrito Federal, deverá providenciar registro ou visto no CREA-DF, na hipótese de sagrar-se vencedora da licitação.</w:t>
      </w:r>
    </w:p>
    <w:p w14:paraId="13BBACAF"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Comprovação da capacidade técnica, mediante apresentação de ACT(s) – (Atestado de Capacidade Técnica) ou </w:t>
      </w:r>
      <w:r w:rsidRPr="003C2897">
        <w:rPr>
          <w:rFonts w:eastAsia="Times New Roman"/>
          <w:color w:val="auto"/>
        </w:rPr>
        <w:t xml:space="preserve">Contratos firmados e já </w:t>
      </w:r>
      <w:r>
        <w:rPr>
          <w:rFonts w:eastAsia="Times New Roman"/>
          <w:color w:val="auto"/>
        </w:rPr>
        <w:t>executados (</w:t>
      </w:r>
      <w:r w:rsidRPr="003C2897">
        <w:rPr>
          <w:rFonts w:eastAsia="Times New Roman"/>
          <w:color w:val="auto"/>
        </w:rPr>
        <w:t>concluídos</w:t>
      </w:r>
      <w:r>
        <w:rPr>
          <w:rFonts w:eastAsia="Times New Roman"/>
          <w:color w:val="auto"/>
        </w:rPr>
        <w:t>)</w:t>
      </w:r>
      <w:r w:rsidRPr="00E85DD8">
        <w:rPr>
          <w:rFonts w:eastAsia="Times New Roman"/>
          <w:color w:val="auto"/>
        </w:rPr>
        <w:t>, expedido(s) em nome da licitante ou em nome de um profissional devidamente contratado pela licitante por pessoa jurídica de direito público ou privado que contemple(m) no mínimo:</w:t>
      </w:r>
    </w:p>
    <w:p w14:paraId="21DC65AE" w14:textId="77777777" w:rsidR="0018128D" w:rsidRPr="00E85DD8" w:rsidRDefault="0018128D" w:rsidP="0018128D">
      <w:pPr>
        <w:pStyle w:val="Default"/>
        <w:numPr>
          <w:ilvl w:val="2"/>
          <w:numId w:val="27"/>
        </w:numPr>
        <w:spacing w:line="360" w:lineRule="auto"/>
        <w:ind w:left="2160"/>
        <w:jc w:val="both"/>
        <w:rPr>
          <w:rFonts w:eastAsia="Times New Roman"/>
          <w:color w:val="auto"/>
        </w:rPr>
      </w:pPr>
      <w:r w:rsidRPr="00E85DD8">
        <w:rPr>
          <w:rFonts w:eastAsia="Times New Roman"/>
          <w:color w:val="auto"/>
        </w:rPr>
        <w:t xml:space="preserve">Sistemas de áudio com no mínimo: </w:t>
      </w:r>
    </w:p>
    <w:p w14:paraId="1F358F37" w14:textId="77777777" w:rsidR="0018128D" w:rsidRPr="00E85DD8" w:rsidRDefault="0018128D" w:rsidP="0018128D">
      <w:pPr>
        <w:pStyle w:val="Default"/>
        <w:numPr>
          <w:ilvl w:val="3"/>
          <w:numId w:val="27"/>
        </w:numPr>
        <w:spacing w:line="360" w:lineRule="auto"/>
        <w:jc w:val="both"/>
        <w:rPr>
          <w:rFonts w:eastAsia="Times New Roman"/>
          <w:color w:val="auto"/>
        </w:rPr>
      </w:pPr>
      <w:r>
        <w:rPr>
          <w:rFonts w:eastAsia="Times New Roman"/>
          <w:color w:val="auto"/>
        </w:rPr>
        <w:t>F</w:t>
      </w:r>
      <w:r w:rsidRPr="00E85DD8">
        <w:rPr>
          <w:rFonts w:eastAsia="Times New Roman"/>
          <w:color w:val="auto"/>
        </w:rPr>
        <w:t>onte</w:t>
      </w:r>
      <w:r>
        <w:rPr>
          <w:rFonts w:eastAsia="Times New Roman"/>
          <w:color w:val="auto"/>
        </w:rPr>
        <w:t>s</w:t>
      </w:r>
      <w:r w:rsidRPr="00E85DD8">
        <w:rPr>
          <w:rFonts w:eastAsia="Times New Roman"/>
          <w:color w:val="auto"/>
        </w:rPr>
        <w:t xml:space="preserve"> de áudio como microfones sem fio e/ou sistema de conferência; </w:t>
      </w:r>
    </w:p>
    <w:p w14:paraId="64C40400" w14:textId="77777777" w:rsidR="0018128D" w:rsidRPr="00DD1D70" w:rsidRDefault="0018128D" w:rsidP="0018128D">
      <w:pPr>
        <w:pStyle w:val="Default"/>
        <w:numPr>
          <w:ilvl w:val="3"/>
          <w:numId w:val="27"/>
        </w:numPr>
        <w:spacing w:line="360" w:lineRule="auto"/>
        <w:jc w:val="both"/>
        <w:rPr>
          <w:rFonts w:eastAsia="Times New Roman"/>
          <w:color w:val="auto"/>
        </w:rPr>
      </w:pPr>
      <w:r>
        <w:rPr>
          <w:rFonts w:eastAsia="Times New Roman"/>
          <w:color w:val="auto"/>
        </w:rPr>
        <w:t>Elementos</w:t>
      </w:r>
      <w:r w:rsidRPr="00E85DD8">
        <w:rPr>
          <w:rFonts w:eastAsia="Times New Roman"/>
          <w:color w:val="auto"/>
        </w:rPr>
        <w:t xml:space="preserve"> de gerenciamento de áudio como processadores digitais, </w:t>
      </w:r>
      <w:r>
        <w:rPr>
          <w:rFonts w:eastAsia="Times New Roman"/>
          <w:color w:val="auto"/>
        </w:rPr>
        <w:t xml:space="preserve">e/ou </w:t>
      </w:r>
      <w:r w:rsidRPr="00E85DD8">
        <w:rPr>
          <w:rFonts w:eastAsia="Times New Roman"/>
          <w:color w:val="auto"/>
        </w:rPr>
        <w:t xml:space="preserve">interfaces e/ou matrizes de áudio, </w:t>
      </w:r>
      <w:r>
        <w:rPr>
          <w:rFonts w:eastAsia="Times New Roman"/>
          <w:color w:val="auto"/>
        </w:rPr>
        <w:t xml:space="preserve">e/ou </w:t>
      </w:r>
      <w:r w:rsidRPr="00E85DD8">
        <w:rPr>
          <w:rFonts w:eastAsia="Times New Roman"/>
          <w:color w:val="auto"/>
        </w:rPr>
        <w:t xml:space="preserve">mesas de som, </w:t>
      </w:r>
      <w:r>
        <w:rPr>
          <w:rFonts w:eastAsia="Times New Roman"/>
          <w:color w:val="auto"/>
        </w:rPr>
        <w:t xml:space="preserve">e/ou </w:t>
      </w:r>
      <w:r w:rsidRPr="00E85DD8">
        <w:rPr>
          <w:rFonts w:eastAsia="Times New Roman"/>
          <w:color w:val="auto"/>
        </w:rPr>
        <w:t xml:space="preserve">amplificadores, </w:t>
      </w:r>
      <w:r>
        <w:rPr>
          <w:rFonts w:eastAsia="Times New Roman"/>
          <w:color w:val="auto"/>
        </w:rPr>
        <w:t xml:space="preserve">e/ou </w:t>
      </w:r>
      <w:r w:rsidRPr="00DD1D70">
        <w:rPr>
          <w:rFonts w:eastAsia="Times New Roman"/>
          <w:color w:val="auto"/>
        </w:rPr>
        <w:t xml:space="preserve">receivers, etc; </w:t>
      </w:r>
    </w:p>
    <w:p w14:paraId="4EDA57BB" w14:textId="77777777" w:rsidR="0018128D" w:rsidRPr="00DD1D70" w:rsidRDefault="0018128D" w:rsidP="0018128D">
      <w:pPr>
        <w:pStyle w:val="Default"/>
        <w:numPr>
          <w:ilvl w:val="3"/>
          <w:numId w:val="27"/>
        </w:numPr>
        <w:spacing w:line="360" w:lineRule="auto"/>
        <w:jc w:val="both"/>
        <w:rPr>
          <w:rFonts w:eastAsia="Times New Roman"/>
          <w:color w:val="auto"/>
        </w:rPr>
      </w:pPr>
      <w:r w:rsidRPr="00DD1D70">
        <w:rPr>
          <w:rFonts w:eastAsia="Times New Roman"/>
          <w:color w:val="auto"/>
        </w:rPr>
        <w:t xml:space="preserve"> </w:t>
      </w:r>
      <w:r>
        <w:rPr>
          <w:rFonts w:eastAsia="Times New Roman"/>
          <w:color w:val="auto"/>
        </w:rPr>
        <w:t>Saídas</w:t>
      </w:r>
      <w:r w:rsidRPr="00DD1D70">
        <w:rPr>
          <w:rFonts w:eastAsia="Times New Roman"/>
          <w:color w:val="auto"/>
        </w:rPr>
        <w:t xml:space="preserve"> de áudio para sistema de sonorização dos ambientes;</w:t>
      </w:r>
    </w:p>
    <w:p w14:paraId="296471B5" w14:textId="77777777" w:rsidR="0018128D" w:rsidRPr="00E85DD8" w:rsidRDefault="0018128D" w:rsidP="0018128D">
      <w:pPr>
        <w:pStyle w:val="Default"/>
        <w:numPr>
          <w:ilvl w:val="3"/>
          <w:numId w:val="27"/>
        </w:numPr>
        <w:spacing w:line="360" w:lineRule="auto"/>
        <w:jc w:val="both"/>
        <w:rPr>
          <w:rFonts w:eastAsia="Times New Roman"/>
          <w:color w:val="auto"/>
        </w:rPr>
      </w:pPr>
      <w:r w:rsidRPr="00E85DD8">
        <w:rPr>
          <w:rFonts w:eastAsia="Times New Roman"/>
          <w:color w:val="auto"/>
        </w:rPr>
        <w:t xml:space="preserve">  </w:t>
      </w:r>
      <w:r>
        <w:rPr>
          <w:rFonts w:eastAsia="Times New Roman"/>
          <w:color w:val="auto"/>
        </w:rPr>
        <w:t>Saídas</w:t>
      </w:r>
      <w:r w:rsidRPr="00E85DD8">
        <w:rPr>
          <w:rFonts w:eastAsia="Times New Roman"/>
          <w:color w:val="auto"/>
        </w:rPr>
        <w:t xml:space="preserve"> para encoders de mídia e/ou aparelhos que possibilitem integração à internet para sistemas de videoconferência e/ou transmissão e recepção de conteúdo de áudio digital.</w:t>
      </w:r>
    </w:p>
    <w:p w14:paraId="0D6AFF41" w14:textId="77777777" w:rsidR="0018128D" w:rsidRPr="00E85DD8" w:rsidRDefault="0018128D" w:rsidP="0018128D">
      <w:pPr>
        <w:pStyle w:val="Default"/>
        <w:numPr>
          <w:ilvl w:val="2"/>
          <w:numId w:val="27"/>
        </w:numPr>
        <w:spacing w:line="360" w:lineRule="auto"/>
        <w:ind w:left="2160"/>
        <w:jc w:val="both"/>
        <w:rPr>
          <w:rFonts w:eastAsia="Times New Roman"/>
          <w:color w:val="auto"/>
        </w:rPr>
      </w:pPr>
      <w:r w:rsidRPr="00E85DD8">
        <w:rPr>
          <w:rFonts w:eastAsia="Times New Roman"/>
          <w:color w:val="auto"/>
        </w:rPr>
        <w:t>Sistemas de vídeo com no mínimo:</w:t>
      </w:r>
    </w:p>
    <w:p w14:paraId="5CCF1390" w14:textId="77777777" w:rsidR="0018128D" w:rsidRPr="00E85DD8" w:rsidRDefault="0018128D" w:rsidP="0018128D">
      <w:pPr>
        <w:pStyle w:val="Default"/>
        <w:numPr>
          <w:ilvl w:val="3"/>
          <w:numId w:val="27"/>
        </w:numPr>
        <w:spacing w:line="360" w:lineRule="auto"/>
        <w:jc w:val="both"/>
        <w:rPr>
          <w:rFonts w:eastAsia="Times New Roman"/>
          <w:color w:val="auto"/>
        </w:rPr>
      </w:pPr>
      <w:r>
        <w:rPr>
          <w:rFonts w:eastAsia="Times New Roman"/>
          <w:color w:val="auto"/>
        </w:rPr>
        <w:t>Fontes</w:t>
      </w:r>
      <w:r w:rsidRPr="00E85DD8">
        <w:rPr>
          <w:rFonts w:eastAsia="Times New Roman"/>
          <w:color w:val="auto"/>
        </w:rPr>
        <w:t xml:space="preserve"> de vídeo como câmeras digitais ou analógicas, aparelhos reprodutores de mídia, etc</w:t>
      </w:r>
    </w:p>
    <w:p w14:paraId="0F2E68F0" w14:textId="77777777" w:rsidR="0018128D" w:rsidRPr="00E85DD8" w:rsidRDefault="0018128D" w:rsidP="0018128D">
      <w:pPr>
        <w:pStyle w:val="Default"/>
        <w:numPr>
          <w:ilvl w:val="3"/>
          <w:numId w:val="27"/>
        </w:numPr>
        <w:spacing w:line="360" w:lineRule="auto"/>
        <w:jc w:val="both"/>
        <w:rPr>
          <w:rFonts w:eastAsia="Times New Roman"/>
          <w:color w:val="auto"/>
        </w:rPr>
      </w:pPr>
      <w:r>
        <w:rPr>
          <w:rFonts w:eastAsia="Times New Roman"/>
          <w:color w:val="auto"/>
        </w:rPr>
        <w:t>E</w:t>
      </w:r>
      <w:r w:rsidRPr="00E85DD8">
        <w:rPr>
          <w:rFonts w:eastAsia="Times New Roman"/>
          <w:color w:val="auto"/>
        </w:rPr>
        <w:t>lemento</w:t>
      </w:r>
      <w:r>
        <w:rPr>
          <w:rFonts w:eastAsia="Times New Roman"/>
          <w:color w:val="auto"/>
        </w:rPr>
        <w:t>s</w:t>
      </w:r>
      <w:r w:rsidRPr="00E85DD8">
        <w:rPr>
          <w:rFonts w:eastAsia="Times New Roman"/>
          <w:color w:val="auto"/>
        </w:rPr>
        <w:t xml:space="preserve"> de gerenciamento de vídeo como processadores, processadores digitais, interfaces e/ou, mesas de corte (switcher) de vídeo;</w:t>
      </w:r>
    </w:p>
    <w:p w14:paraId="027C68B4" w14:textId="77777777" w:rsidR="0018128D" w:rsidRPr="002D0938" w:rsidRDefault="0018128D" w:rsidP="0018128D">
      <w:pPr>
        <w:pStyle w:val="Default"/>
        <w:numPr>
          <w:ilvl w:val="3"/>
          <w:numId w:val="27"/>
        </w:numPr>
        <w:spacing w:line="360" w:lineRule="auto"/>
        <w:jc w:val="both"/>
        <w:rPr>
          <w:rFonts w:eastAsia="Times New Roman"/>
          <w:color w:val="auto"/>
        </w:rPr>
      </w:pPr>
      <w:r>
        <w:rPr>
          <w:rFonts w:eastAsia="Times New Roman"/>
          <w:color w:val="auto"/>
        </w:rPr>
        <w:t>Matrizes</w:t>
      </w:r>
      <w:r w:rsidRPr="002D0938">
        <w:rPr>
          <w:rFonts w:eastAsia="Times New Roman"/>
          <w:color w:val="auto"/>
        </w:rPr>
        <w:t xml:space="preserve"> de vídeo com a comutação dos sinais de inputs/outputs</w:t>
      </w:r>
      <w:r>
        <w:rPr>
          <w:rFonts w:eastAsia="Times New Roman"/>
          <w:color w:val="auto"/>
        </w:rPr>
        <w:t xml:space="preserve"> ou solução de distribuição de conteúdo com fluxo de sinais via IP</w:t>
      </w:r>
      <w:r w:rsidRPr="002D0938">
        <w:rPr>
          <w:rFonts w:eastAsia="Times New Roman"/>
          <w:color w:val="auto"/>
        </w:rPr>
        <w:t>.</w:t>
      </w:r>
    </w:p>
    <w:p w14:paraId="79C966A0" w14:textId="77777777" w:rsidR="0018128D" w:rsidRPr="00E85DD8" w:rsidRDefault="0018128D" w:rsidP="0018128D">
      <w:pPr>
        <w:pStyle w:val="Default"/>
        <w:numPr>
          <w:ilvl w:val="3"/>
          <w:numId w:val="27"/>
        </w:numPr>
        <w:spacing w:line="360" w:lineRule="auto"/>
        <w:jc w:val="both"/>
        <w:rPr>
          <w:rFonts w:eastAsia="Times New Roman"/>
          <w:color w:val="auto"/>
        </w:rPr>
      </w:pPr>
      <w:r>
        <w:rPr>
          <w:rFonts w:eastAsia="Times New Roman"/>
          <w:color w:val="auto"/>
        </w:rPr>
        <w:t>S</w:t>
      </w:r>
      <w:r w:rsidRPr="00E85DD8">
        <w:rPr>
          <w:rFonts w:eastAsia="Times New Roman"/>
          <w:color w:val="auto"/>
        </w:rPr>
        <w:t>aída</w:t>
      </w:r>
      <w:r>
        <w:rPr>
          <w:rFonts w:eastAsia="Times New Roman"/>
          <w:color w:val="auto"/>
        </w:rPr>
        <w:t>s</w:t>
      </w:r>
      <w:r w:rsidRPr="00E85DD8">
        <w:rPr>
          <w:rFonts w:eastAsia="Times New Roman"/>
          <w:color w:val="auto"/>
        </w:rPr>
        <w:t xml:space="preserve"> para encoders de mídia e/ou aparelhos que possibilitem integração à internet para sistemas de videoconferência e/ou transmissão e recepção de conteúdo de vídeo digital</w:t>
      </w:r>
      <w:r>
        <w:rPr>
          <w:rFonts w:eastAsia="Times New Roman"/>
          <w:color w:val="auto"/>
        </w:rPr>
        <w:t>.</w:t>
      </w:r>
    </w:p>
    <w:p w14:paraId="3E7312E5"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deverá(ão)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5FA8B507"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Será aceito o somatório de atestados;</w:t>
      </w:r>
    </w:p>
    <w:p w14:paraId="6635C593"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apresentado(s) poderá(ão) ser objeto de diligência, a critério do CNMP, para a verificação da autenticidade do conteúdo das informações nele(s) contidas.</w:t>
      </w:r>
    </w:p>
    <w:p w14:paraId="37E99828"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Havendo divergência entre o especificado no atestado de capacidade e o apurado em eventual diligência, além da desclassificação fica a licitante sujeita às penalidades cabíveis.</w:t>
      </w:r>
    </w:p>
    <w:p w14:paraId="177F04C2" w14:textId="77777777" w:rsidR="0018128D" w:rsidRPr="00E85DD8" w:rsidRDefault="0018128D" w:rsidP="0018128D">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Após assinatura do Contrato a CONTRATADA deverá: </w:t>
      </w:r>
    </w:p>
    <w:p w14:paraId="7EE6523A" w14:textId="77777777" w:rsidR="0018128D" w:rsidRPr="00E85DD8" w:rsidRDefault="0018128D" w:rsidP="0018128D">
      <w:pPr>
        <w:pStyle w:val="Default"/>
        <w:numPr>
          <w:ilvl w:val="2"/>
          <w:numId w:val="27"/>
        </w:numPr>
        <w:spacing w:line="360" w:lineRule="auto"/>
        <w:ind w:left="0" w:firstLine="0"/>
        <w:jc w:val="both"/>
        <w:rPr>
          <w:rFonts w:eastAsia="Times New Roman"/>
          <w:color w:val="auto"/>
        </w:rPr>
      </w:pPr>
      <w:r w:rsidRPr="00E85DD8">
        <w:rPr>
          <w:rFonts w:eastAsia="Times New Roman"/>
          <w:color w:val="auto"/>
        </w:rPr>
        <w:t>Indicar o RESPONSÁVEL TÉCNICO DA CONTRATADA no prazo máximo de 5 (cinco) dias úteis e comprovar o vínculo jurídico do profissional com a empresa. O responsável indicado pela contratada deverá possuir registro atualizado no devido órgão de classe e apresentar documento de responsabilidade técnica (ART – Anotação de Responsabilidade Técnica ou TRT – Termo de Responsabilidade Técnica) relacionada ao escopo das atividades a serem desenvolvidas.</w:t>
      </w:r>
    </w:p>
    <w:p w14:paraId="64ED6D69" w14:textId="77777777" w:rsidR="0018128D" w:rsidRDefault="0018128D" w:rsidP="0018128D">
      <w:pPr>
        <w:pStyle w:val="Default"/>
        <w:spacing w:line="360" w:lineRule="auto"/>
        <w:jc w:val="both"/>
        <w:rPr>
          <w:rFonts w:eastAsia="Times New Roman"/>
          <w:color w:val="auto"/>
        </w:rPr>
      </w:pPr>
    </w:p>
    <w:p w14:paraId="038B362E" w14:textId="77777777" w:rsidR="0018128D" w:rsidRPr="00A65CC1" w:rsidRDefault="0018128D" w:rsidP="0018128D">
      <w:pPr>
        <w:pStyle w:val="Default"/>
        <w:numPr>
          <w:ilvl w:val="0"/>
          <w:numId w:val="27"/>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0EAA3ECF" w14:textId="77777777" w:rsidR="0018128D" w:rsidRPr="00C275FA" w:rsidRDefault="0018128D" w:rsidP="0018128D">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438323D" w14:textId="77777777" w:rsidR="0018128D" w:rsidRPr="00C275FA" w:rsidRDefault="0018128D" w:rsidP="0018128D">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6AEC19FC" w14:textId="77777777" w:rsidR="0018128D" w:rsidRPr="00C275FA" w:rsidRDefault="0018128D" w:rsidP="0018128D">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EADD1DA" w14:textId="77777777" w:rsidR="0018128D" w:rsidRPr="00C275FA" w:rsidRDefault="0018128D" w:rsidP="0018128D">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D589B64" w14:textId="77777777" w:rsidR="0018128D" w:rsidRPr="008840B3" w:rsidRDefault="0018128D" w:rsidP="0018128D">
      <w:pPr>
        <w:pStyle w:val="Standard"/>
        <w:widowControl w:val="0"/>
        <w:numPr>
          <w:ilvl w:val="1"/>
          <w:numId w:val="27"/>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7B4E4DA0" w14:textId="77777777" w:rsidR="0018128D" w:rsidRDefault="0018128D" w:rsidP="0018128D">
      <w:pPr>
        <w:pStyle w:val="Default"/>
        <w:widowControl w:val="0"/>
        <w:tabs>
          <w:tab w:val="left" w:pos="851"/>
        </w:tabs>
        <w:spacing w:after="240"/>
        <w:jc w:val="both"/>
        <w:rPr>
          <w:b/>
          <w:bCs/>
          <w:lang w:val="pt-PT"/>
        </w:rPr>
      </w:pPr>
    </w:p>
    <w:p w14:paraId="641A2E9F" w14:textId="77777777" w:rsidR="00D73C22" w:rsidRDefault="00D73C22" w:rsidP="0018128D">
      <w:pPr>
        <w:pStyle w:val="Default"/>
        <w:widowControl w:val="0"/>
        <w:tabs>
          <w:tab w:val="left" w:pos="851"/>
        </w:tabs>
        <w:spacing w:after="240"/>
        <w:jc w:val="both"/>
        <w:rPr>
          <w:b/>
          <w:bCs/>
          <w:lang w:val="pt-PT"/>
        </w:rPr>
      </w:pPr>
    </w:p>
    <w:p w14:paraId="2BDBEC40" w14:textId="77777777" w:rsidR="00D73C22" w:rsidRDefault="00D73C22" w:rsidP="0018128D">
      <w:pPr>
        <w:pStyle w:val="Default"/>
        <w:widowControl w:val="0"/>
        <w:tabs>
          <w:tab w:val="left" w:pos="851"/>
        </w:tabs>
        <w:spacing w:after="240"/>
        <w:jc w:val="both"/>
        <w:rPr>
          <w:b/>
          <w:bCs/>
          <w:lang w:val="pt-PT"/>
        </w:rPr>
      </w:pPr>
    </w:p>
    <w:p w14:paraId="0604EE89" w14:textId="77777777" w:rsidR="0018128D" w:rsidRDefault="0018128D" w:rsidP="0018128D">
      <w:pPr>
        <w:pStyle w:val="Default"/>
        <w:widowControl w:val="0"/>
        <w:tabs>
          <w:tab w:val="left" w:pos="851"/>
        </w:tabs>
        <w:spacing w:after="240"/>
        <w:ind w:firstLine="720"/>
        <w:jc w:val="both"/>
        <w:rPr>
          <w:rFonts w:eastAsia="Calibri"/>
          <w:color w:val="000000" w:themeColor="text1"/>
          <w:lang w:val="pt-PT"/>
        </w:rPr>
      </w:pPr>
    </w:p>
    <w:p w14:paraId="53EA1AB5" w14:textId="0A79C4C3" w:rsidR="006F1CEE" w:rsidRDefault="006F1CEE" w:rsidP="006F1CEE">
      <w:pPr>
        <w:pStyle w:val="Standard"/>
        <w:spacing w:after="113" w:line="360" w:lineRule="auto"/>
        <w:jc w:val="center"/>
      </w:pPr>
      <w:r w:rsidRPr="07A8792B">
        <w:rPr>
          <w:rFonts w:ascii="Times New Roman" w:hAnsi="Times New Roman" w:cs="Times New Roman"/>
          <w:b/>
          <w:bCs/>
          <w:u w:val="single"/>
        </w:rPr>
        <w:t xml:space="preserve">AVISO DE DISPENSA ELETRÔNICA Nº </w:t>
      </w:r>
      <w:r w:rsidR="000A5501">
        <w:rPr>
          <w:rFonts w:ascii="Times New Roman" w:hAnsi="Times New Roman" w:cs="Times New Roman"/>
          <w:b/>
          <w:bCs/>
          <w:u w:val="single"/>
        </w:rPr>
        <w:t>11</w:t>
      </w:r>
      <w:r w:rsidRPr="07A8792B">
        <w:rPr>
          <w:rFonts w:ascii="Times New Roman" w:hAnsi="Times New Roman" w:cs="Times New Roman"/>
          <w:b/>
          <w:bCs/>
          <w:u w:val="single"/>
        </w:rPr>
        <w:t>/2023_</w:t>
      </w:r>
    </w:p>
    <w:p w14:paraId="570F831F" w14:textId="0DB9E6B3"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19.00.6160.0003203/2023-95</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55FE5CD4"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0A5501">
        <w:rPr>
          <w:rFonts w:ascii="Times New Roman" w:eastAsia="Verdana" w:hAnsi="Times New Roman" w:cs="Times New Roman"/>
          <w:b/>
          <w:bCs/>
        </w:rPr>
        <w:t>11</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EC6587E" w14:textId="77777777" w:rsidR="0018128D" w:rsidRPr="00C275FA" w:rsidRDefault="0018128D" w:rsidP="0018128D">
      <w:pPr>
        <w:pStyle w:val="Standard"/>
        <w:rPr>
          <w:rFonts w:eastAsia="Times New Roman" w:cs="Times New Roman"/>
        </w:rPr>
      </w:pPr>
    </w:p>
    <w:tbl>
      <w:tblPr>
        <w:tblStyle w:val="Tabelacomgrade"/>
        <w:tblW w:w="8500" w:type="dxa"/>
        <w:tblLayout w:type="fixed"/>
        <w:tblLook w:val="04A0" w:firstRow="1" w:lastRow="0" w:firstColumn="1" w:lastColumn="0" w:noHBand="0" w:noVBand="1"/>
      </w:tblPr>
      <w:tblGrid>
        <w:gridCol w:w="750"/>
        <w:gridCol w:w="2506"/>
        <w:gridCol w:w="1559"/>
        <w:gridCol w:w="1417"/>
        <w:gridCol w:w="1276"/>
        <w:gridCol w:w="992"/>
      </w:tblGrid>
      <w:tr w:rsidR="0018128D" w14:paraId="1EBFC0E7" w14:textId="77777777" w:rsidTr="00C4725E">
        <w:trPr>
          <w:trHeight w:val="300"/>
        </w:trPr>
        <w:tc>
          <w:tcPr>
            <w:tcW w:w="750" w:type="dxa"/>
          </w:tcPr>
          <w:p w14:paraId="7A3DC119"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ITEM</w:t>
            </w:r>
          </w:p>
        </w:tc>
        <w:tc>
          <w:tcPr>
            <w:tcW w:w="2506" w:type="dxa"/>
          </w:tcPr>
          <w:p w14:paraId="2E25C86E"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DESCRIÇÃO</w:t>
            </w:r>
          </w:p>
        </w:tc>
        <w:tc>
          <w:tcPr>
            <w:tcW w:w="1559" w:type="dxa"/>
          </w:tcPr>
          <w:p w14:paraId="7A86F09C"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QUANTIDADE</w:t>
            </w:r>
          </w:p>
        </w:tc>
        <w:tc>
          <w:tcPr>
            <w:tcW w:w="1417" w:type="dxa"/>
          </w:tcPr>
          <w:p w14:paraId="25C989E8"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UNIDADE</w:t>
            </w:r>
          </w:p>
        </w:tc>
        <w:tc>
          <w:tcPr>
            <w:tcW w:w="1276" w:type="dxa"/>
          </w:tcPr>
          <w:p w14:paraId="3FBC5F39"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PREÇO UNITÁRIO</w:t>
            </w:r>
          </w:p>
        </w:tc>
        <w:tc>
          <w:tcPr>
            <w:tcW w:w="992" w:type="dxa"/>
          </w:tcPr>
          <w:p w14:paraId="389DF4A9" w14:textId="77777777" w:rsidR="0018128D" w:rsidRDefault="0018128D" w:rsidP="00C4725E">
            <w:pPr>
              <w:pStyle w:val="Default"/>
              <w:spacing w:line="360" w:lineRule="auto"/>
              <w:rPr>
                <w:rFonts w:eastAsia="Times New Roman"/>
                <w:color w:val="000000" w:themeColor="text1"/>
                <w:sz w:val="20"/>
                <w:szCs w:val="20"/>
              </w:rPr>
            </w:pPr>
            <w:r w:rsidRPr="7ECB85F5">
              <w:rPr>
                <w:rFonts w:eastAsia="Times New Roman"/>
                <w:color w:val="000000" w:themeColor="text1"/>
                <w:sz w:val="20"/>
                <w:szCs w:val="20"/>
              </w:rPr>
              <w:t>PREÇO TOTAL</w:t>
            </w:r>
          </w:p>
        </w:tc>
      </w:tr>
      <w:tr w:rsidR="0018128D" w14:paraId="6D3CD9D7" w14:textId="77777777" w:rsidTr="00C4725E">
        <w:trPr>
          <w:trHeight w:val="1170"/>
        </w:trPr>
        <w:tc>
          <w:tcPr>
            <w:tcW w:w="750" w:type="dxa"/>
          </w:tcPr>
          <w:p w14:paraId="3D5818AA" w14:textId="77777777" w:rsidR="0018128D" w:rsidRDefault="0018128D" w:rsidP="00C4725E">
            <w:pPr>
              <w:pStyle w:val="Default"/>
              <w:spacing w:line="360" w:lineRule="auto"/>
              <w:rPr>
                <w:rFonts w:eastAsia="Times New Roman"/>
                <w:color w:val="000000" w:themeColor="text1"/>
                <w:sz w:val="20"/>
                <w:szCs w:val="20"/>
              </w:rPr>
            </w:pPr>
            <w:r w:rsidRPr="4E79D129">
              <w:rPr>
                <w:rFonts w:eastAsia="Times New Roman"/>
                <w:color w:val="000000" w:themeColor="text1"/>
                <w:sz w:val="20"/>
                <w:szCs w:val="20"/>
              </w:rPr>
              <w:t>1</w:t>
            </w:r>
          </w:p>
        </w:tc>
        <w:tc>
          <w:tcPr>
            <w:tcW w:w="2506" w:type="dxa"/>
          </w:tcPr>
          <w:p w14:paraId="77B6F4D1" w14:textId="77777777" w:rsidR="0018128D" w:rsidRDefault="0018128D" w:rsidP="00C4725E">
            <w:pPr>
              <w:spacing w:line="360" w:lineRule="auto"/>
              <w:rPr>
                <w:rFonts w:ascii="Times New Roman" w:eastAsia="Times New Roman" w:hAnsi="Times New Roman" w:cs="Times New Roman"/>
                <w:color w:val="000000" w:themeColor="text1"/>
                <w:sz w:val="20"/>
                <w:szCs w:val="20"/>
              </w:rPr>
            </w:pPr>
            <w:r w:rsidRPr="00E2457F">
              <w:rPr>
                <w:rFonts w:ascii="Times New Roman" w:eastAsia="Times New Roman" w:hAnsi="Times New Roman" w:cs="Times New Roman"/>
                <w:color w:val="000000" w:themeColor="text1"/>
                <w:sz w:val="20"/>
                <w:szCs w:val="20"/>
              </w:rPr>
              <w:t>Contratação de consultoria técnica especializada na proposição de solução para futura implantação do parque audiovisual da futura sede própria do CNMP. O serviço contempla análise do projeto básico arquitetônico desenvolvido para a construção da futura sede própria do CNMP, com análise dos ambientes destinados a receber os equipamentos audiovisuais e o desenvolvimento de soluções para aparelhar os ambientes de modo a disponibilizar os recursos audiovisuais necessários para a execução das atividades do CNMP</w:t>
            </w:r>
            <w:r>
              <w:rPr>
                <w:rFonts w:ascii="Times New Roman" w:eastAsia="Times New Roman" w:hAnsi="Times New Roman" w:cs="Times New Roman"/>
                <w:color w:val="000000" w:themeColor="text1"/>
                <w:sz w:val="20"/>
                <w:szCs w:val="20"/>
              </w:rPr>
              <w:t>.</w:t>
            </w:r>
          </w:p>
          <w:p w14:paraId="40DAE592" w14:textId="77777777" w:rsidR="0018128D" w:rsidRDefault="0018128D" w:rsidP="00C4725E">
            <w:pPr>
              <w:spacing w:line="360" w:lineRule="auto"/>
              <w:rPr>
                <w:rFonts w:ascii="Times New Roman" w:eastAsia="Times New Roman" w:hAnsi="Times New Roman" w:cs="Times New Roman"/>
                <w:color w:val="000000" w:themeColor="text1"/>
                <w:sz w:val="20"/>
                <w:szCs w:val="20"/>
              </w:rPr>
            </w:pPr>
            <w:r w:rsidRPr="00D578F5">
              <w:rPr>
                <w:rFonts w:ascii="Times New Roman" w:eastAsia="Times New Roman" w:hAnsi="Times New Roman" w:cs="Times New Roman"/>
                <w:color w:val="000000" w:themeColor="text1"/>
                <w:sz w:val="20"/>
                <w:szCs w:val="20"/>
              </w:rPr>
              <w:t>Deverão ser entregues os produtos relativos ao Levantamento dos Requisitos, ao Estudo de Viabilidade e ao Anteprojeto e seu detalhamento.</w:t>
            </w:r>
          </w:p>
        </w:tc>
        <w:tc>
          <w:tcPr>
            <w:tcW w:w="1559" w:type="dxa"/>
          </w:tcPr>
          <w:p w14:paraId="28A5DE65" w14:textId="77777777" w:rsidR="0018128D" w:rsidRDefault="0018128D" w:rsidP="00C4725E">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01</w:t>
            </w:r>
          </w:p>
        </w:tc>
        <w:tc>
          <w:tcPr>
            <w:tcW w:w="1417" w:type="dxa"/>
          </w:tcPr>
          <w:p w14:paraId="7E517FAF" w14:textId="77777777" w:rsidR="0018128D" w:rsidRDefault="0018128D" w:rsidP="00C4725E">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Unidade</w:t>
            </w:r>
          </w:p>
        </w:tc>
        <w:tc>
          <w:tcPr>
            <w:tcW w:w="1276" w:type="dxa"/>
          </w:tcPr>
          <w:p w14:paraId="179C6938" w14:textId="77777777" w:rsidR="0018128D" w:rsidRDefault="0018128D" w:rsidP="00C4725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 </w:t>
            </w:r>
          </w:p>
        </w:tc>
        <w:tc>
          <w:tcPr>
            <w:tcW w:w="992" w:type="dxa"/>
          </w:tcPr>
          <w:p w14:paraId="667D3A92" w14:textId="77777777" w:rsidR="0018128D" w:rsidRDefault="0018128D" w:rsidP="00C4725E">
            <w:pP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R$</w:t>
            </w:r>
          </w:p>
        </w:tc>
      </w:tr>
    </w:tbl>
    <w:p w14:paraId="4B59D8B0" w14:textId="77777777" w:rsidR="00D73C22" w:rsidRPr="00B00FEE"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r w:rsidRPr="679E79CE">
        <w:rPr>
          <w:rFonts w:eastAsia="Times New Roman" w:cs="Times New Roman"/>
        </w:rPr>
        <w:t>Obs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50767F78"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AVISO DE DISPENSA ELETRÔNICA Nº </w:t>
      </w:r>
      <w:r w:rsidR="000A5501">
        <w:rPr>
          <w:rStyle w:val="normaltextrun"/>
          <w:b/>
          <w:bCs/>
          <w:u w:val="single"/>
        </w:rPr>
        <w:t>11</w:t>
      </w:r>
      <w:r>
        <w:rPr>
          <w:rStyle w:val="normaltextrun"/>
          <w:b/>
          <w:bCs/>
          <w:u w:val="single"/>
        </w:rPr>
        <w:t>/2023_</w:t>
      </w:r>
      <w:r>
        <w:rPr>
          <w:rStyle w:val="eop"/>
        </w:rPr>
        <w:t> </w:t>
      </w:r>
    </w:p>
    <w:p w14:paraId="65B6073D" w14:textId="52767A8D"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Pr="0018128D">
        <w:rPr>
          <w:rStyle w:val="normaltextrun"/>
          <w:rFonts w:hint="eastAsia"/>
          <w:b/>
          <w:bCs/>
          <w:u w:val="single"/>
        </w:rPr>
        <w:t>19.00.6160.0003203/2023-95</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(RESOLUÇÕES CNMP nºs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______ de _______________ de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2FE85E2E"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0D115E">
        <w:rPr>
          <w:rFonts w:ascii="Times New Roman" w:hAnsi="Times New Roman" w:cs="Times New Roman"/>
          <w:b/>
          <w:bCs/>
          <w:u w:val="single"/>
        </w:rPr>
        <w:t xml:space="preserve">ISO DE DISPENSA ELETRÔNICA Nº </w:t>
      </w:r>
      <w:r w:rsidR="000A5501">
        <w:rPr>
          <w:rFonts w:ascii="Times New Roman" w:hAnsi="Times New Roman" w:cs="Times New Roman"/>
          <w:b/>
          <w:bCs/>
          <w:u w:val="single"/>
        </w:rPr>
        <w:t>11</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619BC748"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8128D" w:rsidRPr="0018128D">
        <w:rPr>
          <w:rFonts w:ascii="Times New Roman" w:eastAsia="Times New Roman" w:hAnsi="Times New Roman" w:cs="Times New Roman" w:hint="eastAsia"/>
          <w:b/>
          <w:bCs/>
          <w:u w:val="single"/>
        </w:rPr>
        <w:t>19.00.6160.0003203/2023-95</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 xml:space="preserve">A UNIÃO, por intermédio do CONSELHO NACIONAL DO MINISTÉRIO PÚBLICO, CNPJ nº 11.439.520/0001-11, situado no Setor de Administração Federal Sul – SAFS, quadra 2, lote 3, Edifício Adail Belmonte, Brasília/DF, representado neste ato por seu (ua)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e demais legislação aplicável, 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62F0AAB" w14:textId="77777777" w:rsidR="00D73C22" w:rsidRDefault="00D73C22" w:rsidP="004B21F2">
      <w:pPr>
        <w:spacing w:line="360" w:lineRule="auto"/>
        <w:ind w:right="-30" w:firstLine="1134"/>
        <w:jc w:val="both"/>
        <w:rPr>
          <w:rFonts w:ascii="Times New Roman" w:eastAsia="Times New Roman" w:hAnsi="Times New Roman" w:cs="Times New Roman"/>
        </w:rPr>
      </w:pP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15199B18"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5A0E01" w:rsidRPr="004562B2">
        <w:rPr>
          <w:rFonts w:ascii="Times New Roman" w:hAnsi="Times New Roman" w:cs="Times New Roman"/>
          <w:sz w:val="24"/>
          <w:szCs w:val="24"/>
        </w:rPr>
        <w:t xml:space="preserve">contratação </w:t>
      </w:r>
      <w:r w:rsidR="004562B2" w:rsidRPr="004562B2">
        <w:rPr>
          <w:rFonts w:ascii="Times New Roman" w:hAnsi="Times New Roman" w:cs="Times New Roman"/>
          <w:sz w:val="24"/>
          <w:szCs w:val="24"/>
        </w:rPr>
        <w:t>de consultoria técnica especializada em solução audiovisual na análise do projeto básico arquitetônico desenvolvido e proposição de solução para futura implantação do parque audiovisual visando a construção do Edifício-sede do CNMP</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756F629" w14:textId="77777777" w:rsidR="00D73C22" w:rsidRDefault="00D73C22" w:rsidP="00D73C22">
      <w:pPr>
        <w:pStyle w:val="Nivel3"/>
        <w:numPr>
          <w:ilvl w:val="0"/>
          <w:numId w:val="0"/>
        </w:numPr>
        <w:spacing w:line="360" w:lineRule="auto"/>
        <w:ind w:left="284"/>
        <w:rPr>
          <w:rFonts w:ascii="Times New Roman" w:hAnsi="Times New Roman" w:cs="Times New Roman"/>
          <w:sz w:val="24"/>
          <w:szCs w:val="24"/>
        </w:rPr>
      </w:pP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0D80B1C2" w14:textId="77777777" w:rsidR="00D73C22" w:rsidRPr="00D73C22" w:rsidRDefault="00D73C22" w:rsidP="00D73C22">
      <w:pPr>
        <w:rPr>
          <w:rFonts w:hint="eastAsia"/>
        </w:rPr>
      </w:pPr>
    </w:p>
    <w:p w14:paraId="5F196DEF" w14:textId="782D0907" w:rsidR="00B96063" w:rsidRPr="00D73C22" w:rsidRDefault="00B96063" w:rsidP="004B21F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4562B2" w:rsidRPr="00CC0809">
        <w:rPr>
          <w:rFonts w:ascii="Times New Roman" w:eastAsia="Times New Roman" w:hAnsi="Times New Roman" w:cs="Times New Roman"/>
          <w:i w:val="0"/>
          <w:iCs w:val="0"/>
          <w:color w:val="auto"/>
          <w:sz w:val="24"/>
          <w:szCs w:val="24"/>
        </w:rPr>
        <w:t>O contrato terá vigência de 12 (doze) meses, a partir da sua assinatura</w:t>
      </w:r>
      <w:r w:rsidR="00D73C22">
        <w:rPr>
          <w:rFonts w:ascii="Times New Roman" w:eastAsia="Times New Roman" w:hAnsi="Times New Roman" w:cs="Times New Roman"/>
          <w:i w:val="0"/>
          <w:iCs w:val="0"/>
          <w:color w:val="auto"/>
          <w:sz w:val="24"/>
          <w:szCs w:val="24"/>
        </w:rPr>
        <w:t xml:space="preserve"> e </w:t>
      </w:r>
      <w:r w:rsidR="00D73C22">
        <w:rPr>
          <w:rFonts w:ascii="Times New Roman" w:hAnsi="Times New Roman" w:cs="Times New Roman"/>
          <w:i w:val="0"/>
          <w:iCs w:val="0"/>
          <w:color w:val="000000"/>
          <w:sz w:val="24"/>
          <w:szCs w:val="24"/>
        </w:rPr>
        <w:t>t</w:t>
      </w:r>
      <w:r w:rsidR="001A3A14" w:rsidRPr="00CC0809">
        <w:rPr>
          <w:rFonts w:ascii="Times New Roman" w:hAnsi="Times New Roman" w:cs="Times New Roman"/>
          <w:i w:val="0"/>
          <w:iCs w:val="0"/>
          <w:color w:val="000000"/>
          <w:sz w:val="24"/>
          <w:szCs w:val="24"/>
        </w:rPr>
        <w:t>erá</w:t>
      </w:r>
      <w:r w:rsidR="001A3A14" w:rsidRPr="005A0E01">
        <w:rPr>
          <w:rFonts w:ascii="Times New Roman" w:hAnsi="Times New Roman" w:cs="Times New Roman"/>
          <w:i w:val="0"/>
          <w:iCs w:val="0"/>
          <w:color w:val="000000"/>
          <w:sz w:val="24"/>
          <w:szCs w:val="24"/>
        </w:rPr>
        <w:t xml:space="preserve"> eficácia legal após a publicação do seu extrato</w:t>
      </w:r>
      <w:r w:rsidR="001A3A14" w:rsidRP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14:paraId="256E958A" w14:textId="77777777" w:rsidR="00D73C22" w:rsidRPr="00D73C22" w:rsidRDefault="00D73C22" w:rsidP="00D73C22">
      <w:pPr>
        <w:pStyle w:val="Nvel2-Red"/>
        <w:numPr>
          <w:ilvl w:val="0"/>
          <w:numId w:val="0"/>
        </w:numPr>
        <w:spacing w:line="360" w:lineRule="auto"/>
        <w:rPr>
          <w:rFonts w:ascii="Times New Roman" w:hAnsi="Times New Roman" w:cs="Times New Roman"/>
          <w:i w:val="0"/>
          <w:iCs w:val="0"/>
          <w:sz w:val="24"/>
          <w:szCs w:val="24"/>
        </w:rPr>
      </w:pP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4B84E8E1" w14:textId="77777777" w:rsidR="00D73C22" w:rsidRPr="004B21F2" w:rsidRDefault="00D73C22" w:rsidP="00D73C22">
      <w:pPr>
        <w:pStyle w:val="Nivel2"/>
        <w:numPr>
          <w:ilvl w:val="0"/>
          <w:numId w:val="0"/>
        </w:numPr>
        <w:spacing w:line="360" w:lineRule="auto"/>
        <w:rPr>
          <w:rFonts w:ascii="Times New Roman" w:hAnsi="Times New Roman" w:cs="Times New Roman"/>
          <w:sz w:val="24"/>
          <w:szCs w:val="24"/>
        </w:rPr>
      </w:pP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23331CE7" w14:textId="4319E649" w:rsidR="00E16098" w:rsidRPr="00D73C22" w:rsidRDefault="00B96063" w:rsidP="00D73C2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3A46924" w14:textId="77777777" w:rsidR="00D73C22" w:rsidRDefault="00D73C22" w:rsidP="00D73C22">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D73C22" w:rsidRPr="00300E38" w14:paraId="05671FBB" w14:textId="77777777" w:rsidTr="005D5546">
        <w:trPr>
          <w:trHeight w:val="300"/>
        </w:trPr>
        <w:tc>
          <w:tcPr>
            <w:tcW w:w="857" w:type="dxa"/>
            <w:shd w:val="clear" w:color="auto" w:fill="BFBFBF" w:themeFill="background1" w:themeFillShade="BF"/>
          </w:tcPr>
          <w:p w14:paraId="6562761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0D5A809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640502D1"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2F49E877"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4167DD38"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489E8BD4"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D73C22" w:rsidRPr="00300E38" w14:paraId="04E4F445" w14:textId="77777777" w:rsidTr="005D5546">
        <w:trPr>
          <w:trHeight w:val="2805"/>
        </w:trPr>
        <w:tc>
          <w:tcPr>
            <w:tcW w:w="857" w:type="dxa"/>
          </w:tcPr>
          <w:p w14:paraId="603908FF" w14:textId="77777777" w:rsidR="00D73C22" w:rsidRPr="00300E38" w:rsidRDefault="00D73C22" w:rsidP="005D5546">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071B0418" w14:textId="77777777" w:rsidR="00D73C22" w:rsidRPr="00CC0809" w:rsidRDefault="00D73C22" w:rsidP="005D5546">
            <w:pPr>
              <w:spacing w:line="360" w:lineRule="auto"/>
              <w:rPr>
                <w:rFonts w:ascii="Times New Roman" w:hAnsi="Times New Roman" w:cs="Times New Roman"/>
              </w:rPr>
            </w:pPr>
            <w:r w:rsidRPr="00CC0809">
              <w:rPr>
                <w:rFonts w:ascii="Times New Roman" w:hAnsi="Times New Roman" w:cs="Times New Roman"/>
              </w:rPr>
              <w:t>Contratação de consultoria técnica especializada na proposição de solução para futura implantação do parque audiovisual da futura sede própria do CNMP. O serviço contempla análise do projeto básico arquitetônico desenvolvido para a construção da futura sede própria do CNMP, com análise dos ambientes destinados a receber os equipamentos audiovisuais e o desenvolvimento de soluções para aparelhar os ambientes de modo a disponibilizar os recursos audiovisuais necessários para a execução das atividades do CNMP.</w:t>
            </w:r>
          </w:p>
          <w:p w14:paraId="3278BDF3" w14:textId="77777777" w:rsidR="00D73C22" w:rsidRPr="00CC0809" w:rsidRDefault="00D73C22" w:rsidP="005D5546">
            <w:pPr>
              <w:spacing w:after="100" w:afterAutospacing="1" w:line="360" w:lineRule="auto"/>
              <w:contextualSpacing/>
              <w:jc w:val="both"/>
              <w:rPr>
                <w:rFonts w:ascii="Times New Roman" w:hAnsi="Times New Roman" w:cs="Times New Roman"/>
              </w:rPr>
            </w:pPr>
            <w:r w:rsidRPr="00CC0809">
              <w:rPr>
                <w:rFonts w:ascii="Times New Roman" w:hAnsi="Times New Roman" w:cs="Times New Roman"/>
              </w:rPr>
              <w:t>Deverão ser entregues os produtos relativos ao Levantamento dos Requisitos, ao Estudo de Viabilidade e ao Anteprojeto e seu detalhamento.</w:t>
            </w:r>
          </w:p>
        </w:tc>
        <w:tc>
          <w:tcPr>
            <w:tcW w:w="897" w:type="dxa"/>
          </w:tcPr>
          <w:p w14:paraId="5D1BD3B7"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F95F56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6F4A67F"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2A41872"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1C4AC41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B51E87E" w14:textId="77777777" w:rsidR="00D73C22" w:rsidRPr="00300E38" w:rsidRDefault="00D73C22" w:rsidP="005D5546">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10511BD1" w14:textId="77777777" w:rsidR="00D73C22" w:rsidRDefault="00D73C22" w:rsidP="005D5546">
            <w:pPr>
              <w:pStyle w:val="Default"/>
              <w:spacing w:after="100" w:afterAutospacing="1" w:line="360" w:lineRule="auto"/>
              <w:contextualSpacing/>
              <w:jc w:val="center"/>
              <w:rPr>
                <w:rFonts w:eastAsia="Times New Roman"/>
                <w:color w:val="auto"/>
              </w:rPr>
            </w:pPr>
          </w:p>
          <w:p w14:paraId="12A4E616" w14:textId="77777777" w:rsidR="00D73C22" w:rsidRDefault="00D73C22" w:rsidP="005D5546">
            <w:pPr>
              <w:pStyle w:val="Default"/>
              <w:spacing w:after="100" w:afterAutospacing="1" w:line="360" w:lineRule="auto"/>
              <w:contextualSpacing/>
              <w:jc w:val="center"/>
              <w:rPr>
                <w:rFonts w:eastAsia="Times New Roman"/>
                <w:color w:val="auto"/>
              </w:rPr>
            </w:pPr>
          </w:p>
          <w:p w14:paraId="5B1BA691" w14:textId="77777777" w:rsidR="00D73C22" w:rsidRDefault="00D73C22" w:rsidP="005D5546">
            <w:pPr>
              <w:pStyle w:val="Default"/>
              <w:spacing w:after="100" w:afterAutospacing="1" w:line="360" w:lineRule="auto"/>
              <w:contextualSpacing/>
              <w:jc w:val="center"/>
              <w:rPr>
                <w:rFonts w:eastAsia="Times New Roman"/>
                <w:color w:val="auto"/>
              </w:rPr>
            </w:pPr>
          </w:p>
          <w:p w14:paraId="4ED1FAF1" w14:textId="77777777" w:rsidR="00D73C22" w:rsidRDefault="00D73C22" w:rsidP="005D5546">
            <w:pPr>
              <w:pStyle w:val="Default"/>
              <w:spacing w:after="100" w:afterAutospacing="1" w:line="360" w:lineRule="auto"/>
              <w:contextualSpacing/>
              <w:jc w:val="center"/>
              <w:rPr>
                <w:rFonts w:eastAsia="Times New Roman"/>
                <w:color w:val="auto"/>
              </w:rPr>
            </w:pPr>
          </w:p>
          <w:p w14:paraId="6894C976" w14:textId="77777777" w:rsidR="00D73C22" w:rsidRDefault="00D73C22" w:rsidP="005D5546">
            <w:pPr>
              <w:pStyle w:val="Default"/>
              <w:spacing w:after="100" w:afterAutospacing="1" w:line="360" w:lineRule="auto"/>
              <w:contextualSpacing/>
              <w:jc w:val="center"/>
              <w:rPr>
                <w:rFonts w:eastAsia="Times New Roman"/>
                <w:color w:val="auto"/>
              </w:rPr>
            </w:pPr>
          </w:p>
          <w:p w14:paraId="2F01B2DF" w14:textId="77777777" w:rsidR="00D73C22" w:rsidRPr="00300E38" w:rsidRDefault="00D73C22" w:rsidP="005D5546">
            <w:pPr>
              <w:pStyle w:val="Default"/>
              <w:spacing w:after="100" w:afterAutospacing="1" w:line="360" w:lineRule="auto"/>
              <w:contextualSpacing/>
              <w:rPr>
                <w:rFonts w:eastAsia="Times New Roman"/>
                <w:color w:val="auto"/>
              </w:rPr>
            </w:pPr>
            <w:r>
              <w:rPr>
                <w:rFonts w:eastAsia="Times New Roman"/>
                <w:color w:val="auto"/>
              </w:rPr>
              <w:t xml:space="preserve">  Unidade</w:t>
            </w:r>
          </w:p>
        </w:tc>
        <w:tc>
          <w:tcPr>
            <w:tcW w:w="1707" w:type="dxa"/>
          </w:tcPr>
          <w:p w14:paraId="6F37EA4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F239AC1"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3F4CCC9"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160F95D"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04B1D0F"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5CA68BBC"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c>
          <w:tcPr>
            <w:tcW w:w="1843" w:type="dxa"/>
          </w:tcPr>
          <w:p w14:paraId="7C4B94F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A9F41E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AB09B0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4384078"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D0E2F22"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143308CA"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r>
      <w:tr w:rsidR="00D73C22" w:rsidRPr="009461BB" w14:paraId="39DAA46A" w14:textId="77777777" w:rsidTr="005D5546">
        <w:tc>
          <w:tcPr>
            <w:tcW w:w="7933" w:type="dxa"/>
            <w:gridSpan w:val="5"/>
            <w:shd w:val="clear" w:color="auto" w:fill="BFBFBF" w:themeFill="background1" w:themeFillShade="BF"/>
          </w:tcPr>
          <w:p w14:paraId="5E7BA819" w14:textId="77777777" w:rsidR="00D73C22" w:rsidRPr="001438C9" w:rsidRDefault="00D73C22" w:rsidP="005D5546">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14:paraId="48ECA74A" w14:textId="77777777" w:rsidR="00D73C22" w:rsidRPr="009461BB" w:rsidRDefault="00D73C22" w:rsidP="005D5546">
            <w:pPr>
              <w:pStyle w:val="PargrafodaLista"/>
              <w:spacing w:line="360" w:lineRule="auto"/>
              <w:ind w:left="0"/>
              <w:rPr>
                <w:rFonts w:ascii="Times New Roman" w:hAnsi="Times New Roman" w:cs="Times New Roman"/>
                <w:b/>
              </w:rPr>
            </w:pPr>
            <w:r w:rsidRPr="009461BB">
              <w:rPr>
                <w:rFonts w:ascii="Times New Roman" w:eastAsia="Times New Roman" w:hAnsi="Times New Roman" w:cs="Times New Roman"/>
                <w:b/>
              </w:rPr>
              <w:t xml:space="preserve">R$ </w:t>
            </w:r>
          </w:p>
        </w:tc>
      </w:tr>
    </w:tbl>
    <w:p w14:paraId="64E34BA4" w14:textId="77777777" w:rsidR="00D73C22" w:rsidRDefault="00D73C22" w:rsidP="00D73C22">
      <w:pPr>
        <w:rPr>
          <w:rFonts w:hint="eastAsia"/>
        </w:rPr>
      </w:pPr>
    </w:p>
    <w:p w14:paraId="4E8458D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04F2904B" w14:textId="77777777" w:rsidR="00A75A26" w:rsidRDefault="00A75A26" w:rsidP="00A75A26">
      <w:pPr>
        <w:pStyle w:val="Nivel2"/>
        <w:numPr>
          <w:ilvl w:val="0"/>
          <w:numId w:val="0"/>
        </w:numPr>
        <w:spacing w:line="360" w:lineRule="auto"/>
        <w:rPr>
          <w:rFonts w:ascii="Times New Roman" w:hAnsi="Times New Roman" w:cs="Times New Roman"/>
          <w:sz w:val="24"/>
          <w:szCs w:val="24"/>
        </w:rPr>
      </w:pPr>
    </w:p>
    <w:p w14:paraId="7C9EDC09" w14:textId="1EC3A9A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623319F"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0867A457" w14:textId="192C263E" w:rsidR="00B96063" w:rsidRPr="004B21F2" w:rsidRDefault="00B96063" w:rsidP="00A75A26">
      <w:pPr>
        <w:pStyle w:val="Nivel01"/>
        <w:spacing w:line="360" w:lineRule="auto"/>
        <w:ind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6C45A1E5"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A75A26">
      <w:pPr>
        <w:pStyle w:val="Nivel01"/>
        <w:spacing w:line="360" w:lineRule="auto"/>
        <w:ind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suboperação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Contratado deverá exigir de suboperadores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737970E2" w14:textId="77777777" w:rsidR="00A75A26" w:rsidRPr="008F076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26A8D97C" w14:textId="606FF77C"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1CB9F0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49CABA9C"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61343517" w14:textId="0EA68643"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A75A26">
      <w:pPr>
        <w:pStyle w:val="Nivel01"/>
        <w:spacing w:line="360" w:lineRule="auto"/>
        <w:ind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2E30185" w14:textId="77777777" w:rsidR="00A75A26" w:rsidRPr="00AD771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49FE1A8A" w14:textId="4E1269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05323C4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77AAC926" w14:textId="29BDAB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r w:rsidRPr="004B21F2">
          <w:rPr>
            <w:rStyle w:val="Hyperlink"/>
            <w:rFonts w:ascii="Times New Roman" w:hAnsi="Times New Roman" w:cs="Times New Roman"/>
            <w:sz w:val="24"/>
            <w:szCs w:val="24"/>
          </w:rPr>
          <w:t>arts.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333D1D6"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BF4B20F" w14:textId="645F9D1E"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2B16AA2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69CF680" w14:textId="1444DF6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5872" w14:textId="77777777" w:rsidR="00412F57" w:rsidRDefault="00412F57">
      <w:pPr>
        <w:rPr>
          <w:rFonts w:hint="eastAsia"/>
        </w:rPr>
      </w:pPr>
      <w:r>
        <w:separator/>
      </w:r>
    </w:p>
  </w:endnote>
  <w:endnote w:type="continuationSeparator" w:id="0">
    <w:p w14:paraId="504A8187" w14:textId="77777777" w:rsidR="00412F57" w:rsidRDefault="00412F57">
      <w:pPr>
        <w:rPr>
          <w:rFonts w:hint="eastAsia"/>
        </w:rPr>
      </w:pPr>
      <w:r>
        <w:continuationSeparator/>
      </w:r>
    </w:p>
  </w:endnote>
  <w:endnote w:type="continuationNotice" w:id="1">
    <w:p w14:paraId="29ECFC84" w14:textId="77777777" w:rsidR="00412F57" w:rsidRDefault="00412F5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5C57" w14:textId="77777777" w:rsidR="00B00FEE" w:rsidRDefault="00B00FEE" w:rsidP="004B21F2">
    <w:pPr>
      <w:pStyle w:val="Rodap"/>
      <w:ind w:right="-567"/>
      <w:jc w:val="both"/>
      <w:rPr>
        <w:rFonts w:ascii="Calibri" w:hAnsi="Calibri"/>
        <w:sz w:val="18"/>
        <w:szCs w:val="18"/>
      </w:rPr>
    </w:pPr>
  </w:p>
  <w:p w14:paraId="60465DAE" w14:textId="3FA085D8" w:rsidR="00B00FEE" w:rsidRDefault="00B00FEE" w:rsidP="004B21F2">
    <w:pPr>
      <w:pStyle w:val="Rodap"/>
      <w:jc w:val="both"/>
      <w:rPr>
        <w:rFonts w:hint="eastAsia"/>
      </w:rPr>
    </w:pPr>
    <w:r>
      <w:rPr>
        <w:rFonts w:ascii="Trebuchet MS" w:hAnsi="Trebuchet MS"/>
        <w:sz w:val="16"/>
        <w:szCs w:val="16"/>
      </w:rPr>
      <w:t xml:space="preserve">SEI </w:t>
    </w:r>
    <w:r w:rsidR="00BE329E" w:rsidRPr="00BE329E">
      <w:rPr>
        <w:rFonts w:ascii="Trebuchet MS" w:hAnsi="Trebuchet MS" w:hint="eastAsia"/>
        <w:sz w:val="16"/>
        <w:szCs w:val="16"/>
      </w:rPr>
      <w:t>19.00.6160.0003203/2023-95</w:t>
    </w:r>
    <w:r>
      <w:rPr>
        <w:rFonts w:ascii="Trebuchet MS" w:hAnsi="Trebuchet MS"/>
        <w:sz w:val="16"/>
        <w:szCs w:val="16"/>
      </w:rPr>
      <w:t xml:space="preserve">               Aviso de Dispensa de Licitação CNMP nº </w:t>
    </w:r>
    <w:r w:rsidR="000A5501">
      <w:rPr>
        <w:rFonts w:ascii="Trebuchet MS" w:hAnsi="Trebuchet MS"/>
        <w:sz w:val="16"/>
        <w:szCs w:val="16"/>
      </w:rPr>
      <w:t>11</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2AC9D" w14:textId="77777777" w:rsidR="00412F57" w:rsidRDefault="00412F57">
      <w:pPr>
        <w:rPr>
          <w:rFonts w:hint="eastAsia"/>
        </w:rPr>
      </w:pPr>
      <w:r>
        <w:separator/>
      </w:r>
    </w:p>
  </w:footnote>
  <w:footnote w:type="continuationSeparator" w:id="0">
    <w:p w14:paraId="4A8C150D" w14:textId="77777777" w:rsidR="00412F57" w:rsidRDefault="00412F57">
      <w:pPr>
        <w:rPr>
          <w:rFonts w:hint="eastAsia"/>
        </w:rPr>
      </w:pPr>
      <w:r>
        <w:continuationSeparator/>
      </w:r>
    </w:p>
  </w:footnote>
  <w:footnote w:type="continuationNotice" w:id="1">
    <w:p w14:paraId="428F84BB" w14:textId="77777777" w:rsidR="00412F57" w:rsidRDefault="00412F57">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1pt;height:63.25pt;visibility:visible" o:ole="">
                <v:imagedata r:id="rId1" o:title="Objeto OLE"/>
              </v:shape>
              <o:OLEObject Type="Embed" ProgID="PBrush" ShapeID="_x0000_i1025" DrawAspect="Content" ObjectID="_1757231361"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354C2"/>
    <w:multiLevelType w:val="multilevel"/>
    <w:tmpl w:val="FF6A2BA8"/>
    <w:numStyleLink w:val="Estilo8"/>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2" w15:restartNumberingAfterBreak="0">
    <w:nsid w:val="201D32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4"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5"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19"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6121B0"/>
    <w:multiLevelType w:val="multilevel"/>
    <w:tmpl w:val="4C364C6E"/>
    <w:numStyleLink w:val="Estilo7"/>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29"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1"/>
  </w:num>
  <w:num w:numId="4">
    <w:abstractNumId w:val="34"/>
  </w:num>
  <w:num w:numId="5">
    <w:abstractNumId w:val="20"/>
  </w:num>
  <w:num w:numId="6">
    <w:abstractNumId w:val="16"/>
  </w:num>
  <w:num w:numId="7">
    <w:abstractNumId w:val="22"/>
  </w:num>
  <w:num w:numId="8">
    <w:abstractNumId w:val="26"/>
  </w:num>
  <w:num w:numId="9">
    <w:abstractNumId w:val="1"/>
  </w:num>
  <w:num w:numId="10">
    <w:abstractNumId w:val="4"/>
  </w:num>
  <w:num w:numId="11">
    <w:abstractNumId w:val="5"/>
  </w:num>
  <w:num w:numId="12">
    <w:abstractNumId w:val="35"/>
  </w:num>
  <w:num w:numId="13">
    <w:abstractNumId w:val="2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27"/>
  </w:num>
  <w:num w:numId="18">
    <w:abstractNumId w:val="24"/>
  </w:num>
  <w:num w:numId="19">
    <w:abstractNumId w:val="32"/>
    <w:lvlOverride w:ilvl="0">
      <w:startOverride w:val="1"/>
    </w:lvlOverride>
  </w:num>
  <w:num w:numId="20">
    <w:abstractNumId w:val="10"/>
  </w:num>
  <w:num w:numId="21">
    <w:abstractNumId w:val="21"/>
  </w:num>
  <w:num w:numId="22">
    <w:abstractNumId w:val="9"/>
  </w:num>
  <w:num w:numId="23">
    <w:abstractNumId w:val="29"/>
  </w:num>
  <w:num w:numId="24">
    <w:abstractNumId w:val="15"/>
  </w:num>
  <w:num w:numId="25">
    <w:abstractNumId w:val="18"/>
  </w:num>
  <w:num w:numId="26">
    <w:abstractNumId w:val="36"/>
  </w:num>
  <w:num w:numId="27">
    <w:abstractNumId w:val="30"/>
  </w:num>
  <w:num w:numId="28">
    <w:abstractNumId w:val="6"/>
  </w:num>
  <w:num w:numId="29">
    <w:abstractNumId w:val="3"/>
  </w:num>
  <w:num w:numId="30">
    <w:abstractNumId w:val="28"/>
  </w:num>
  <w:num w:numId="31">
    <w:abstractNumId w:val="33"/>
  </w:num>
  <w:num w:numId="32">
    <w:abstractNumId w:val="19"/>
  </w:num>
  <w:num w:numId="33">
    <w:abstractNumId w:val="25"/>
  </w:num>
  <w:num w:numId="34">
    <w:abstractNumId w:val="14"/>
  </w:num>
  <w:num w:numId="35">
    <w:abstractNumId w:val="7"/>
  </w:num>
  <w:num w:numId="36">
    <w:abstractNumId w:val="2"/>
  </w:num>
  <w:num w:numId="37">
    <w:abstractNumId w:val="13"/>
  </w:num>
  <w:num w:numId="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64"/>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2F57"/>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1F8"/>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87E"/>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36"/>
      </w:numPr>
    </w:pPr>
  </w:style>
  <w:style w:type="numbering" w:customStyle="1" w:styleId="Estilo8">
    <w:name w:val="Estilo8"/>
    <w:uiPriority w:val="99"/>
    <w:rsid w:val="00A75A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D210EDB0-81F6-4212-82EB-FCFC9864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16855</Words>
  <Characters>91022</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2023-09-26T13:59:00Z</dcterms:created>
  <dcterms:modified xsi:type="dcterms:W3CDTF">2023-09-26T14:03:00Z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