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217C3" w14:textId="5102B03F" w:rsidR="00105976" w:rsidRDefault="00F82E9D" w:rsidP="00F82E9D">
      <w:pPr>
        <w:rPr>
          <w:rFonts w:ascii="Times New Roman" w:hAnsi="Times New Roman" w:cs="Times New Roman"/>
          <w:sz w:val="24"/>
          <w:szCs w:val="24"/>
        </w:rPr>
      </w:pPr>
      <w:r>
        <w:rPr>
          <w:rFonts w:ascii="Times New Roman" w:hAnsi="Times New Roman" w:cs="Times New Roman"/>
          <w:sz w:val="24"/>
          <w:szCs w:val="24"/>
        </w:rPr>
        <w:t xml:space="preserve">Pedido de Esclarecimentos </w:t>
      </w:r>
      <w:r w:rsidR="00B60528">
        <w:rPr>
          <w:rFonts w:ascii="Times New Roman" w:hAnsi="Times New Roman" w:cs="Times New Roman"/>
          <w:sz w:val="24"/>
          <w:szCs w:val="24"/>
        </w:rPr>
        <w:t>4</w:t>
      </w:r>
      <w:bookmarkStart w:id="0" w:name="_GoBack"/>
      <w:bookmarkEnd w:id="0"/>
    </w:p>
    <w:p w14:paraId="7D46F23B" w14:textId="77777777" w:rsidR="00D9026F" w:rsidRDefault="00D9026F" w:rsidP="00F82E9D">
      <w:pPr>
        <w:rPr>
          <w:rFonts w:ascii="Times New Roman" w:hAnsi="Times New Roman" w:cs="Times New Roman"/>
          <w:sz w:val="24"/>
          <w:szCs w:val="24"/>
        </w:rPr>
      </w:pPr>
    </w:p>
    <w:p w14:paraId="531A015F" w14:textId="77777777" w:rsidR="00D0425E" w:rsidRPr="00D0425E" w:rsidRDefault="00D0425E" w:rsidP="00D0425E">
      <w:pPr>
        <w:rPr>
          <w:rFonts w:ascii="Times New Roman" w:hAnsi="Times New Roman" w:cs="Times New Roman"/>
          <w:sz w:val="24"/>
          <w:szCs w:val="24"/>
        </w:rPr>
      </w:pPr>
      <w:r w:rsidRPr="00D0425E">
        <w:rPr>
          <w:rFonts w:ascii="Times New Roman" w:hAnsi="Times New Roman" w:cs="Times New Roman"/>
          <w:sz w:val="24"/>
          <w:szCs w:val="24"/>
        </w:rPr>
        <w:t>Trata-se de pedido de esclarecimentos referente ao PE n.º 90013/2024 - CNMP/DF</w:t>
      </w:r>
      <w:r w:rsidRPr="00D0425E">
        <w:rPr>
          <w:rFonts w:ascii="Times New Roman" w:hAnsi="Times New Roman" w:cs="Times New Roman"/>
          <w:sz w:val="24"/>
          <w:szCs w:val="24"/>
        </w:rPr>
        <w:br/>
      </w:r>
      <w:r w:rsidRPr="00D0425E">
        <w:rPr>
          <w:rFonts w:ascii="Times New Roman" w:hAnsi="Times New Roman" w:cs="Times New Roman"/>
          <w:sz w:val="24"/>
          <w:szCs w:val="24"/>
        </w:rPr>
        <w:br/>
        <w:t>1. Existe contrato semelhante vigente ou recém encerrado?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 Se sim, qual o número do contrato?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3. Se sim. com qual empresa?</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4. Se sim, qual o valor do contrato atual ou encerrado?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5. Qual o motivo da finalização do contrato anterior?</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6. Existem glosas ou multas da contratação atual ou anterior? Se sim, por quais motivos?</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7. Se sim, quantos profissionais atendem/atendiam ao contrato?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8. Qual a estimativa do quantitativo de profissionais por perfil para esta nova contratação se não estiver definida no Edital e seu Termo de Referência?</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9. Qual o valor do salário recebido por cada perfil profissional alocado na prestação de serviços atual ou anterior?</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10. Os profissionais deverão receber em sua remuneração mensal os eventos de periculosidade ou insalubridade? Se sim, em quais percentuais?</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lastRenderedPageBreak/>
        <w:br/>
      </w:r>
      <w:r w:rsidRPr="00D0425E">
        <w:rPr>
          <w:rFonts w:ascii="Times New Roman" w:hAnsi="Times New Roman" w:cs="Times New Roman"/>
          <w:sz w:val="24"/>
          <w:szCs w:val="24"/>
        </w:rPr>
        <w:br/>
        <w:t>11. As empresas que apresentarem salários inferiores em sua proposta e planilha de preços aos especificados no Edital e Termo de Referência serão desclassificadas. Está correto nosso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12. As empresas que apresentarem quantitativos de profissionais inferiores em sua proposta e planilha de preços aos especificados no Edital e Termo de Referência serão desclassificadas. Está correto nosso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13. Caso as empresas licitantes possam propor quantitativo de profissionais e/ou salários inferiores aos especificados no Edital e Termo de Referência desta licitação, qual será o critério de exequibilidade que será adotado para fins de julgamento das propostas?</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14. Os profissionais da equipe técnica poderão acumular função de algum dos perfis especificados no Edital e seu Termo de Referência ou deverão exercer exclusivamente uma única função/perfil profissional?</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15. Algum dos profissionais da equipe técnica pode acumular a função de PREPOSTO do contrato para representação da empresa contratada junto à contratante?</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16. O preposto poderá ficar lotado fora das dependências da contratante durante o seu horário administrativo, podendo deslocar-se ou reunir-se remotamente e estar presente sempre que necessário para atendimento das demandas da contratante. Está correto nosso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17. Qual a quantidade de chamados, requisições de serviços, incidentes ou Unidades de Serviço Técnico (</w:t>
      </w:r>
      <w:proofErr w:type="spellStart"/>
      <w:r w:rsidRPr="00D0425E">
        <w:rPr>
          <w:rFonts w:ascii="Times New Roman" w:hAnsi="Times New Roman" w:cs="Times New Roman"/>
          <w:sz w:val="24"/>
          <w:szCs w:val="24"/>
        </w:rPr>
        <w:t>UTSs</w:t>
      </w:r>
      <w:proofErr w:type="spellEnd"/>
      <w:r w:rsidRPr="00D0425E">
        <w:rPr>
          <w:rFonts w:ascii="Times New Roman" w:hAnsi="Times New Roman" w:cs="Times New Roman"/>
          <w:sz w:val="24"/>
          <w:szCs w:val="24"/>
        </w:rPr>
        <w:t>) por tipo de serviços estimada para esta nova contratação?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18. Qual a quantidade de usuários da infraestrutura atual da contratante?</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lastRenderedPageBreak/>
        <w:br/>
        <w:t xml:space="preserve">19. Qual a quantidade de equipamentos por tipo (computadores, desktops, notebooks, impressoras, multifuncionais, monitores, estabilizadores, nobreaks, roteadores, firewalls, </w:t>
      </w:r>
      <w:proofErr w:type="spellStart"/>
      <w:r w:rsidRPr="00D0425E">
        <w:rPr>
          <w:rFonts w:ascii="Times New Roman" w:hAnsi="Times New Roman" w:cs="Times New Roman"/>
          <w:sz w:val="24"/>
          <w:szCs w:val="24"/>
        </w:rPr>
        <w:t>etc</w:t>
      </w:r>
      <w:proofErr w:type="spellEnd"/>
      <w:r w:rsidRPr="00D0425E">
        <w:rPr>
          <w:rFonts w:ascii="Times New Roman" w:hAnsi="Times New Roman" w:cs="Times New Roman"/>
          <w:sz w:val="24"/>
          <w:szCs w:val="24"/>
        </w:rPr>
        <w:t>) para suporte neste novo contrato da contratante?</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20. Qual o prazo previsto para início da execução contratual?</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 xml:space="preserve">21. Entendemos que, para Atestados de Capacidade Técnica apresentados no formato de postos de trabalho como de profissionais Desenvolvedores, Programadores, Analistas de Sistemas, Analistas de Testes, Analistas de Infraestrutura, Administrador de Servidores, Técnicos e outros perfis em geral, serão considerados para fins de comprovação o equivalente de 1 (um) posto de trabalho por mês igual a 176 horas/mês ou 176 </w:t>
      </w:r>
      <w:proofErr w:type="spellStart"/>
      <w:r w:rsidRPr="00D0425E">
        <w:rPr>
          <w:rFonts w:ascii="Times New Roman" w:hAnsi="Times New Roman" w:cs="Times New Roman"/>
          <w:sz w:val="24"/>
          <w:szCs w:val="24"/>
        </w:rPr>
        <w:t>USTs</w:t>
      </w:r>
      <w:proofErr w:type="spellEnd"/>
      <w:r w:rsidRPr="00D0425E">
        <w:rPr>
          <w:rFonts w:ascii="Times New Roman" w:hAnsi="Times New Roman" w:cs="Times New Roman"/>
          <w:sz w:val="24"/>
          <w:szCs w:val="24"/>
        </w:rPr>
        <w:t>/mês. Está correto nosso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22. Entendemos que a CONTRATANTE fornecerá a infraestrutura necessária para a execução dos serviços, como por exemplo: software de monitoramento, ferramenta de controle e abertura de chamados, computadores e/ou notebooks para os profissionais da contratada, mobiliário, mesas, cadeiras e ferramentas para atuação na prestação de serviços?</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23. A empresa deverá, de alguma forma, customizar/parametrizar a ferramenta de chamados ou monitoramento instalada/implantada na contratante? Se sim, qual o tempo estimado para esta tarefa?</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24. Com o advento da Lei nº 14.973 de 16 de setembro de 2024 que instituiu o regime de transição para o fim da Desoneração da Folha de Pagamento, alterando a Lei nº 12.546 de 14 de dezembro de 2011, e definiu o cronograma de transição abaixo: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 2025: CPRB: 80% da alíquota (Exemplo 4,5% x 80% = 3,6%) e CPP: 25% da alíquota (20% x 25% = 5%);</w:t>
      </w:r>
      <w:r w:rsidRPr="00D0425E">
        <w:rPr>
          <w:rFonts w:ascii="Times New Roman" w:hAnsi="Times New Roman" w:cs="Times New Roman"/>
          <w:sz w:val="24"/>
          <w:szCs w:val="24"/>
        </w:rPr>
        <w:br/>
      </w:r>
      <w:r w:rsidRPr="00D0425E">
        <w:rPr>
          <w:rFonts w:ascii="Times New Roman" w:hAnsi="Times New Roman" w:cs="Times New Roman"/>
          <w:sz w:val="24"/>
          <w:szCs w:val="24"/>
        </w:rPr>
        <w:br/>
        <w:t>· 2026: CPRB: 60% da alíquota (Exemplo 4,5% x 60% = 2,7%) e CPP: 50% da alíquota (20% x 50% = 10%);</w:t>
      </w:r>
      <w:r w:rsidRPr="00D0425E">
        <w:rPr>
          <w:rFonts w:ascii="Times New Roman" w:hAnsi="Times New Roman" w:cs="Times New Roman"/>
          <w:sz w:val="24"/>
          <w:szCs w:val="24"/>
        </w:rPr>
        <w:br/>
      </w:r>
      <w:r w:rsidRPr="00D0425E">
        <w:rPr>
          <w:rFonts w:ascii="Times New Roman" w:hAnsi="Times New Roman" w:cs="Times New Roman"/>
          <w:sz w:val="24"/>
          <w:szCs w:val="24"/>
        </w:rPr>
        <w:br/>
        <w:t xml:space="preserve">· 2027: CPRB: 40% da alíquota (Exemplo 4,5% x 40% = 1,8%) e CPP: 75% da alíquota </w:t>
      </w:r>
      <w:r w:rsidRPr="00D0425E">
        <w:rPr>
          <w:rFonts w:ascii="Times New Roman" w:hAnsi="Times New Roman" w:cs="Times New Roman"/>
          <w:sz w:val="24"/>
          <w:szCs w:val="24"/>
        </w:rPr>
        <w:lastRenderedPageBreak/>
        <w:t>(20% x 75% = 15%);</w:t>
      </w:r>
      <w:r w:rsidRPr="00D0425E">
        <w:rPr>
          <w:rFonts w:ascii="Times New Roman" w:hAnsi="Times New Roman" w:cs="Times New Roman"/>
          <w:sz w:val="24"/>
          <w:szCs w:val="24"/>
        </w:rPr>
        <w:br/>
      </w:r>
      <w:r w:rsidRPr="00D0425E">
        <w:rPr>
          <w:rFonts w:ascii="Times New Roman" w:hAnsi="Times New Roman" w:cs="Times New Roman"/>
          <w:sz w:val="24"/>
          <w:szCs w:val="24"/>
        </w:rPr>
        <w:br/>
        <w:t>· 2028: fim do regime de transição (CPRB = 0% e CPP = 20%);</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 xml:space="preserve">Questiona-se: considerando que o objeto de licitação se enquadra no benefício da Desoneração da Folha de Pagamento e que contrato de TI que será firmado será afetado e terá vigência sobrepondo o regime de transição da Lei nº 14.973/2024 por 1 (um) ou mais anos, entendemos que deverá ser elaborada uma composição de custos distinta para cada ano de contrato, refletindo os percentuais de </w:t>
      </w:r>
      <w:proofErr w:type="spellStart"/>
      <w:r w:rsidRPr="00D0425E">
        <w:rPr>
          <w:rFonts w:ascii="Times New Roman" w:hAnsi="Times New Roman" w:cs="Times New Roman"/>
          <w:sz w:val="24"/>
          <w:szCs w:val="24"/>
        </w:rPr>
        <w:t>reoneração</w:t>
      </w:r>
      <w:proofErr w:type="spellEnd"/>
      <w:r w:rsidRPr="00D0425E">
        <w:rPr>
          <w:rFonts w:ascii="Times New Roman" w:hAnsi="Times New Roman" w:cs="Times New Roman"/>
          <w:sz w:val="24"/>
          <w:szCs w:val="24"/>
        </w:rPr>
        <w:t xml:space="preserve"> aplicados anualmente de acordo com o cronograma definido pela Lei. [1] Está correto nosso entendimento? [2] Se não estiver correto, favor, esclarecer como deve ocorrer a composição de custos para apresentação das propostas das empresas licitantes. [3] Se deve ser considerado apenas o período de quando forem apresentadas as propostas e as alterações futuras devem seguir o rito do reequilíbrio econômico-financeiro. [4] Se a proposta das empresas licitantes já devem prever integralmente em sua composição de custos todo o regime de transição para todo o período contratual, considerando-se que já trata-se de fato certo e conhecido por todos conforme previsão legal.</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25. O contrato prevê o dispositivo de depósito em conta vinculada dentro da qual haverá retenção de valores de 13º, férias, 1/3 constitucional, encargos e multa do FGTS para posterior liberação à empresa contratada quando da plena comprovação e quitação destas obrigações junto aos seus profissionais conforme prevê resolução do CNJ 169/2013 ou eventual outra normativa adotada pela contratante? Se sim, qual o prazo máximo para liberação de recursos desta conta quando houver pedidos regulares da contratada?</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 xml:space="preserve">26. Da não bitributação: entendemos que, para essa licitação, irá incidir o ISS para faturamento dos serviços, sendo o referido tributo devido e recolhido na cidade do estabelecimento do prestador dos serviços e domicílio da Licitante, </w:t>
      </w:r>
      <w:proofErr w:type="gramStart"/>
      <w:r w:rsidRPr="00D0425E">
        <w:rPr>
          <w:rFonts w:ascii="Times New Roman" w:hAnsi="Times New Roman" w:cs="Times New Roman"/>
          <w:sz w:val="24"/>
          <w:szCs w:val="24"/>
        </w:rPr>
        <w:t>e</w:t>
      </w:r>
      <w:proofErr w:type="gramEnd"/>
      <w:r w:rsidRPr="00D0425E">
        <w:rPr>
          <w:rFonts w:ascii="Times New Roman" w:hAnsi="Times New Roman" w:cs="Times New Roman"/>
          <w:sz w:val="24"/>
          <w:szCs w:val="24"/>
        </w:rPr>
        <w:t xml:space="preserve"> portanto, não haverá retenção de ISS na cidade da CONTRATANTE, de acordo com o que dispõe a Lei Complementar 116/2003. Está correto o nosso entendimento? Caso contrário, solicitamos a gentileza de esclarecer e informar com base em qual fundamentação e legislação se aplica o entendimento da CONTRATANTE.</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27. Em relação a participação de empresas com regime de tributação pelo Simples Nacional, envio abaixo nosso questionamento:</w:t>
      </w:r>
      <w:r w:rsidRPr="00D0425E">
        <w:rPr>
          <w:rFonts w:ascii="Times New Roman" w:hAnsi="Times New Roman" w:cs="Times New Roman"/>
          <w:sz w:val="24"/>
          <w:szCs w:val="24"/>
        </w:rPr>
        <w:br/>
      </w:r>
      <w:r w:rsidRPr="00D0425E">
        <w:rPr>
          <w:rFonts w:ascii="Times New Roman" w:hAnsi="Times New Roman" w:cs="Times New Roman"/>
          <w:sz w:val="24"/>
          <w:szCs w:val="24"/>
        </w:rPr>
        <w:br/>
        <w:t>Segundo inciso XII do art. 17 da Lei Complementar nº 123/2006 (Lei do Simples Nacional):</w:t>
      </w:r>
      <w:r w:rsidRPr="00D0425E">
        <w:rPr>
          <w:rFonts w:ascii="Times New Roman" w:hAnsi="Times New Roman" w:cs="Times New Roman"/>
          <w:sz w:val="24"/>
          <w:szCs w:val="24"/>
        </w:rPr>
        <w:br/>
      </w:r>
      <w:r w:rsidRPr="00D0425E">
        <w:rPr>
          <w:rFonts w:ascii="Times New Roman" w:hAnsi="Times New Roman" w:cs="Times New Roman"/>
          <w:sz w:val="24"/>
          <w:szCs w:val="24"/>
        </w:rPr>
        <w:lastRenderedPageBreak/>
        <w:br/>
        <w:t>Art. 17. Não poderão recolher os impostos e contribuições na forma do Simples Nacional a microempresa ou a empresa de pequeno porte que:</w:t>
      </w:r>
      <w:r w:rsidRPr="00D0425E">
        <w:rPr>
          <w:rFonts w:ascii="Times New Roman" w:hAnsi="Times New Roman" w:cs="Times New Roman"/>
          <w:sz w:val="24"/>
          <w:szCs w:val="24"/>
        </w:rPr>
        <w:br/>
      </w:r>
      <w:r w:rsidRPr="00D0425E">
        <w:rPr>
          <w:rFonts w:ascii="Times New Roman" w:hAnsi="Times New Roman" w:cs="Times New Roman"/>
          <w:sz w:val="24"/>
          <w:szCs w:val="24"/>
        </w:rPr>
        <w:br/>
        <w:t>XII - que realize cessão ou locação de mão-de-obra;</w:t>
      </w:r>
      <w:r w:rsidRPr="00D0425E">
        <w:rPr>
          <w:rFonts w:ascii="Times New Roman" w:hAnsi="Times New Roman" w:cs="Times New Roman"/>
          <w:sz w:val="24"/>
          <w:szCs w:val="24"/>
        </w:rPr>
        <w:br/>
      </w:r>
      <w:r w:rsidRPr="00D0425E">
        <w:rPr>
          <w:rFonts w:ascii="Times New Roman" w:hAnsi="Times New Roman" w:cs="Times New Roman"/>
          <w:sz w:val="24"/>
          <w:szCs w:val="24"/>
        </w:rPr>
        <w:br/>
        <w:t>Ainda, conforme entendimento do TCU, entende-se como cessão de mão de obra:</w:t>
      </w:r>
      <w:r w:rsidRPr="00D0425E">
        <w:rPr>
          <w:rFonts w:ascii="Times New Roman" w:hAnsi="Times New Roman" w:cs="Times New Roman"/>
          <w:sz w:val="24"/>
          <w:szCs w:val="24"/>
        </w:rPr>
        <w:br/>
      </w:r>
      <w:r w:rsidRPr="00D0425E">
        <w:rPr>
          <w:rFonts w:ascii="Times New Roman" w:hAnsi="Times New Roman" w:cs="Times New Roman"/>
          <w:sz w:val="24"/>
          <w:szCs w:val="24"/>
        </w:rPr>
        <w:br/>
        <w:t>1) A colocação do trabalhador à disposição da empresa contratante, para efeito de caracterização da cessão de mão de obra, ocorre quando o trabalhador é cedido para atuar sob as ordens do tomador dos serviços, que detém o comando das tarefas e fiscaliza a execução e o andamento dos trabalhos.</w:t>
      </w:r>
      <w:r w:rsidRPr="00D0425E">
        <w:rPr>
          <w:rFonts w:ascii="Times New Roman" w:hAnsi="Times New Roman" w:cs="Times New Roman"/>
          <w:sz w:val="24"/>
          <w:szCs w:val="24"/>
        </w:rPr>
        <w:br/>
      </w:r>
      <w:r w:rsidRPr="00D0425E">
        <w:rPr>
          <w:rFonts w:ascii="Times New Roman" w:hAnsi="Times New Roman" w:cs="Times New Roman"/>
          <w:sz w:val="24"/>
          <w:szCs w:val="24"/>
        </w:rPr>
        <w:br/>
        <w:t xml:space="preserve">2) Para fins dessa disponibilização, não é necessário que o trabalhador fique exclusivamente por conta da empresa contratante, bastando que ocorra a colocação do trabalhador à disposição da contratante durante o horário contratado mediante medições de serviço por posto de trabalho ou unidades de medidas similares como horas ou </w:t>
      </w:r>
      <w:proofErr w:type="spellStart"/>
      <w:r w:rsidRPr="00D0425E">
        <w:rPr>
          <w:rFonts w:ascii="Times New Roman" w:hAnsi="Times New Roman" w:cs="Times New Roman"/>
          <w:sz w:val="24"/>
          <w:szCs w:val="24"/>
        </w:rPr>
        <w:t>USTs</w:t>
      </w:r>
      <w:proofErr w:type="spellEnd"/>
      <w:r w:rsidRPr="00D0425E">
        <w:rPr>
          <w:rFonts w:ascii="Times New Roman" w:hAnsi="Times New Roman" w:cs="Times New Roman"/>
          <w:sz w:val="24"/>
          <w:szCs w:val="24"/>
        </w:rPr>
        <w:t xml:space="preserve"> (unidades de serviço técnico).</w:t>
      </w:r>
      <w:r w:rsidRPr="00D0425E">
        <w:rPr>
          <w:rFonts w:ascii="Times New Roman" w:hAnsi="Times New Roman" w:cs="Times New Roman"/>
          <w:sz w:val="24"/>
          <w:szCs w:val="24"/>
        </w:rPr>
        <w:br/>
      </w:r>
      <w:r w:rsidRPr="00D0425E">
        <w:rPr>
          <w:rFonts w:ascii="Times New Roman" w:hAnsi="Times New Roman" w:cs="Times New Roman"/>
          <w:sz w:val="24"/>
          <w:szCs w:val="24"/>
        </w:rPr>
        <w:br/>
        <w:t>Diante da proibição da cessão de mão de obra pela Lei do Simples Nacional, e diante do entendimento do Tribunal de Contas da União, questiona-se:</w:t>
      </w:r>
      <w:r w:rsidRPr="00D0425E">
        <w:rPr>
          <w:rFonts w:ascii="Times New Roman" w:hAnsi="Times New Roman" w:cs="Times New Roman"/>
          <w:sz w:val="24"/>
          <w:szCs w:val="24"/>
        </w:rPr>
        <w:br/>
      </w:r>
      <w:r w:rsidRPr="00D0425E">
        <w:rPr>
          <w:rFonts w:ascii="Times New Roman" w:hAnsi="Times New Roman" w:cs="Times New Roman"/>
          <w:sz w:val="24"/>
          <w:szCs w:val="24"/>
        </w:rPr>
        <w:br/>
        <w:t>Uma vez que o objeto da licitação deixa claro que haverá cessão de mão de obra, será vetada a participação de empresas optantes pelo regime de tributação do Simples Nacional? Ou então, se aceita a participação das empresas optantes pelo Simples Nacional, estas poderão participar do certame, no entanto, não podendo utiliza-se do enquadramento deste regime, devendo utilizar os percentuais de impostos de uma empresa do Lucro Presumido ou Lucro Real em suas planilhas de custo e, então, exigida a comunicação do fato para a Receita Federal solicitando o desenquadramento da empresa optante pelo Simples Nacional que por ventura se sagrar vencedora do certame?</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28. Com a entrada em vigor da Lei nº 14.973, de 16 de setembro de 2024, que estabelece novas proporções para a substituição da alíquota de desoneração, gostaria de confirmar se as empresas devem realizar suas cotações considerando a oneração parcial para o ano de 2025.</w:t>
      </w:r>
      <w:r w:rsidRPr="00D0425E">
        <w:rPr>
          <w:rFonts w:ascii="Times New Roman" w:hAnsi="Times New Roman" w:cs="Times New Roman"/>
          <w:sz w:val="24"/>
          <w:szCs w:val="24"/>
        </w:rPr>
        <w:br/>
        <w:t>O artigo 9º-A da referida lei prevê que, entre 1º de janeiro e 31 de dezembro de 2025, as empresas podem optar por contribuir sobre o valor da receita bruta, excluídas as vendas canceladas e os descontos incondicionais concedidos, em substituição parcial às contribuições previstas nos incisos I e III do caput do art. 22 da Lei nº 8.212, de 24 de julho de 1991, sendo tributadas de acordo com as seguintes proporções:</w:t>
      </w:r>
      <w:r w:rsidRPr="00D0425E">
        <w:rPr>
          <w:rFonts w:ascii="Times New Roman" w:hAnsi="Times New Roman" w:cs="Times New Roman"/>
          <w:sz w:val="24"/>
          <w:szCs w:val="24"/>
        </w:rPr>
        <w:br/>
        <w:t xml:space="preserve">I – de 1º de janeiro até 31 de dezembro de 2025: a) 80% (oitenta por cento) das alíquotas estabelecidas nos </w:t>
      </w:r>
      <w:proofErr w:type="spellStart"/>
      <w:r w:rsidRPr="00D0425E">
        <w:rPr>
          <w:rFonts w:ascii="Times New Roman" w:hAnsi="Times New Roman" w:cs="Times New Roman"/>
          <w:sz w:val="24"/>
          <w:szCs w:val="24"/>
        </w:rPr>
        <w:t>arts</w:t>
      </w:r>
      <w:proofErr w:type="spellEnd"/>
      <w:r w:rsidRPr="00D0425E">
        <w:rPr>
          <w:rFonts w:ascii="Times New Roman" w:hAnsi="Times New Roman" w:cs="Times New Roman"/>
          <w:sz w:val="24"/>
          <w:szCs w:val="24"/>
        </w:rPr>
        <w:t>. 7º-A e 8º-A desta Lei; e b) 25% (vinte e cinco por cento) das alíquotas previstas nos incisos I e III do caput do art. 22 da Lei nº 8.212, de 24 de julho de 1991;</w:t>
      </w:r>
      <w:r w:rsidRPr="00D0425E">
        <w:rPr>
          <w:rFonts w:ascii="Times New Roman" w:hAnsi="Times New Roman" w:cs="Times New Roman"/>
          <w:sz w:val="24"/>
          <w:szCs w:val="24"/>
        </w:rPr>
        <w:br/>
      </w:r>
      <w:r w:rsidRPr="00D0425E">
        <w:rPr>
          <w:rFonts w:ascii="Times New Roman" w:hAnsi="Times New Roman" w:cs="Times New Roman"/>
          <w:sz w:val="24"/>
          <w:szCs w:val="24"/>
        </w:rPr>
        <w:lastRenderedPageBreak/>
        <w:t xml:space="preserve">II – de 1º de janeiro até 31 de dezembro de 2026: a) 60% (sessenta por cento) das alíquotas previstas nos </w:t>
      </w:r>
      <w:proofErr w:type="spellStart"/>
      <w:r w:rsidRPr="00D0425E">
        <w:rPr>
          <w:rFonts w:ascii="Times New Roman" w:hAnsi="Times New Roman" w:cs="Times New Roman"/>
          <w:sz w:val="24"/>
          <w:szCs w:val="24"/>
        </w:rPr>
        <w:t>arts</w:t>
      </w:r>
      <w:proofErr w:type="spellEnd"/>
      <w:r w:rsidRPr="00D0425E">
        <w:rPr>
          <w:rFonts w:ascii="Times New Roman" w:hAnsi="Times New Roman" w:cs="Times New Roman"/>
          <w:sz w:val="24"/>
          <w:szCs w:val="24"/>
        </w:rPr>
        <w:t>. 7º-A e 8º-A desta Lei; e b) 50% (cinquenta por cento) das alíquotas previstas nos incisos I e III do caput do art. 22 da Lei nº 8.212, de 24 de julho de 1991;</w:t>
      </w:r>
      <w:r w:rsidRPr="00D0425E">
        <w:rPr>
          <w:rFonts w:ascii="Times New Roman" w:hAnsi="Times New Roman" w:cs="Times New Roman"/>
          <w:sz w:val="24"/>
          <w:szCs w:val="24"/>
        </w:rPr>
        <w:br/>
        <w:t xml:space="preserve">III – de 1º de janeiro até 31 de dezembro de 2027: a) na proporção de 40% (quarenta por cento) das alíquotas previstas nos </w:t>
      </w:r>
      <w:proofErr w:type="spellStart"/>
      <w:r w:rsidRPr="00D0425E">
        <w:rPr>
          <w:rFonts w:ascii="Times New Roman" w:hAnsi="Times New Roman" w:cs="Times New Roman"/>
          <w:sz w:val="24"/>
          <w:szCs w:val="24"/>
        </w:rPr>
        <w:t>arts</w:t>
      </w:r>
      <w:proofErr w:type="spellEnd"/>
      <w:r w:rsidRPr="00D0425E">
        <w:rPr>
          <w:rFonts w:ascii="Times New Roman" w:hAnsi="Times New Roman" w:cs="Times New Roman"/>
          <w:sz w:val="24"/>
          <w:szCs w:val="24"/>
        </w:rPr>
        <w:t>. 7º-A e 8º-A desta Lei; e b) 75% (setenta e cinco por cento) das alíquotas previstas nos incisos I e III do caput do art. 22 da Lei nº 8.212, de 24 de julho de 1991.</w:t>
      </w:r>
      <w:r w:rsidRPr="00D0425E">
        <w:rPr>
          <w:rFonts w:ascii="Times New Roman" w:hAnsi="Times New Roman" w:cs="Times New Roman"/>
          <w:sz w:val="24"/>
          <w:szCs w:val="24"/>
        </w:rPr>
        <w:br/>
        <w:t>Dessa forma, é correto afirmar que as empresas que se enquadram nas condições mencionadas devem considerar a contribuição sobre a receita bruta com as alíquotas reduzidas, conforme as proporções estabelecidas para os anos em questão?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br/>
        <w:t>29. Se nosso entendimento sobre a questão anterior estiver incorreto, poderia nos esclarecer se as empresas devem continuar utilizando a desoneração em suas planilhas até o final de 2024, considerando que a licitação ocorrerá este ano? Além disso, gostaríamos de confirmar se, em 2025, elas poderão solicitar reequilíbrio, já que a oneração parcial começará a ser aplicada neste ano.</w:t>
      </w:r>
      <w:r w:rsidRPr="00D0425E">
        <w:rPr>
          <w:rFonts w:ascii="Times New Roman" w:hAnsi="Times New Roman" w:cs="Times New Roman"/>
          <w:sz w:val="24"/>
          <w:szCs w:val="24"/>
        </w:rPr>
        <w:br/>
      </w:r>
      <w:r w:rsidRPr="00D0425E">
        <w:rPr>
          <w:rFonts w:ascii="Times New Roman" w:hAnsi="Times New Roman" w:cs="Times New Roman"/>
          <w:sz w:val="24"/>
          <w:szCs w:val="24"/>
        </w:rPr>
        <w:br/>
      </w:r>
    </w:p>
    <w:p w14:paraId="27B38376" w14:textId="77777777" w:rsidR="00D0425E" w:rsidRPr="00D0425E" w:rsidRDefault="00D0425E" w:rsidP="00D0425E">
      <w:pPr>
        <w:rPr>
          <w:rFonts w:ascii="Times New Roman" w:hAnsi="Times New Roman" w:cs="Times New Roman"/>
          <w:sz w:val="24"/>
          <w:szCs w:val="24"/>
        </w:rPr>
      </w:pPr>
      <w:r w:rsidRPr="00D0425E">
        <w:rPr>
          <w:rFonts w:ascii="Times New Roman" w:hAnsi="Times New Roman" w:cs="Times New Roman"/>
          <w:sz w:val="24"/>
          <w:szCs w:val="24"/>
        </w:rPr>
        <w:t>Prezados, segue resposta ao vosso pedido de esclarecimentos:</w:t>
      </w:r>
      <w:r w:rsidRPr="00D0425E">
        <w:rPr>
          <w:rFonts w:ascii="Times New Roman" w:hAnsi="Times New Roman" w:cs="Times New Roman"/>
          <w:sz w:val="24"/>
          <w:szCs w:val="24"/>
        </w:rPr>
        <w:br/>
      </w:r>
      <w:r w:rsidRPr="00D0425E">
        <w:rPr>
          <w:rFonts w:ascii="Times New Roman" w:hAnsi="Times New Roman" w:cs="Times New Roman"/>
          <w:sz w:val="24"/>
          <w:szCs w:val="24"/>
        </w:rPr>
        <w:br/>
        <w:t>1 - Não. Esta é a primeira contratação.</w:t>
      </w:r>
      <w:r w:rsidRPr="00D0425E">
        <w:rPr>
          <w:rFonts w:ascii="Times New Roman" w:hAnsi="Times New Roman" w:cs="Times New Roman"/>
          <w:sz w:val="24"/>
          <w:szCs w:val="24"/>
        </w:rPr>
        <w:br/>
      </w:r>
      <w:r w:rsidRPr="00D0425E">
        <w:rPr>
          <w:rFonts w:ascii="Times New Roman" w:hAnsi="Times New Roman" w:cs="Times New Roman"/>
          <w:sz w:val="24"/>
          <w:szCs w:val="24"/>
        </w:rPr>
        <w:br/>
        <w:t>8 - Conforme item 3 do Termo de Referência</w:t>
      </w:r>
      <w:r w:rsidRPr="00D0425E">
        <w:rPr>
          <w:rFonts w:ascii="Times New Roman" w:hAnsi="Times New Roman" w:cs="Times New Roman"/>
          <w:sz w:val="24"/>
          <w:szCs w:val="24"/>
        </w:rPr>
        <w:br/>
      </w:r>
      <w:r w:rsidRPr="00D0425E">
        <w:rPr>
          <w:rFonts w:ascii="Times New Roman" w:hAnsi="Times New Roman" w:cs="Times New Roman"/>
          <w:sz w:val="24"/>
          <w:szCs w:val="24"/>
        </w:rPr>
        <w:br/>
        <w:t>9 - Atualmente não existe contrato.</w:t>
      </w:r>
      <w:r w:rsidRPr="00D0425E">
        <w:rPr>
          <w:rFonts w:ascii="Times New Roman" w:hAnsi="Times New Roman" w:cs="Times New Roman"/>
          <w:sz w:val="24"/>
          <w:szCs w:val="24"/>
        </w:rPr>
        <w:br/>
      </w:r>
      <w:r w:rsidRPr="00D0425E">
        <w:rPr>
          <w:rFonts w:ascii="Times New Roman" w:hAnsi="Times New Roman" w:cs="Times New Roman"/>
          <w:sz w:val="24"/>
          <w:szCs w:val="24"/>
        </w:rPr>
        <w:br/>
        <w:t>10 - O objeto do pregão é serviço de TI e não mão de obra residente, não cabe o contratante definir.</w:t>
      </w:r>
      <w:r w:rsidRPr="00D0425E">
        <w:rPr>
          <w:rFonts w:ascii="Times New Roman" w:hAnsi="Times New Roman" w:cs="Times New Roman"/>
          <w:sz w:val="24"/>
          <w:szCs w:val="24"/>
        </w:rPr>
        <w:br/>
      </w:r>
      <w:r w:rsidRPr="00D0425E">
        <w:rPr>
          <w:rFonts w:ascii="Times New Roman" w:hAnsi="Times New Roman" w:cs="Times New Roman"/>
          <w:sz w:val="24"/>
          <w:szCs w:val="24"/>
        </w:rPr>
        <w:br/>
        <w:t>11 - Está correto 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t>12 - Está correto 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t>13 - O salário especificado no edital é obrigatório e o quantitativo fixo.</w:t>
      </w:r>
      <w:r w:rsidRPr="00D0425E">
        <w:rPr>
          <w:rFonts w:ascii="Times New Roman" w:hAnsi="Times New Roman" w:cs="Times New Roman"/>
          <w:sz w:val="24"/>
          <w:szCs w:val="24"/>
        </w:rPr>
        <w:br/>
      </w:r>
      <w:r w:rsidRPr="00D0425E">
        <w:rPr>
          <w:rFonts w:ascii="Times New Roman" w:hAnsi="Times New Roman" w:cs="Times New Roman"/>
          <w:sz w:val="24"/>
          <w:szCs w:val="24"/>
        </w:rPr>
        <w:br/>
        <w:t>14 - Única função</w:t>
      </w:r>
      <w:r w:rsidRPr="00D0425E">
        <w:rPr>
          <w:rFonts w:ascii="Times New Roman" w:hAnsi="Times New Roman" w:cs="Times New Roman"/>
          <w:sz w:val="24"/>
          <w:szCs w:val="24"/>
        </w:rPr>
        <w:br/>
      </w:r>
      <w:r w:rsidRPr="00D0425E">
        <w:rPr>
          <w:rFonts w:ascii="Times New Roman" w:hAnsi="Times New Roman" w:cs="Times New Roman"/>
          <w:sz w:val="24"/>
          <w:szCs w:val="24"/>
        </w:rPr>
        <w:br/>
        <w:t>15 - Não</w:t>
      </w:r>
      <w:r w:rsidRPr="00D0425E">
        <w:rPr>
          <w:rFonts w:ascii="Times New Roman" w:hAnsi="Times New Roman" w:cs="Times New Roman"/>
          <w:sz w:val="24"/>
          <w:szCs w:val="24"/>
        </w:rPr>
        <w:br/>
      </w:r>
      <w:r w:rsidRPr="00D0425E">
        <w:rPr>
          <w:rFonts w:ascii="Times New Roman" w:hAnsi="Times New Roman" w:cs="Times New Roman"/>
          <w:sz w:val="24"/>
          <w:szCs w:val="24"/>
        </w:rPr>
        <w:br/>
        <w:t>16 - Está correto 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t>17 - Essas métricas não fazem parte do objeto contratado.</w:t>
      </w:r>
      <w:r w:rsidRPr="00D0425E">
        <w:rPr>
          <w:rFonts w:ascii="Times New Roman" w:hAnsi="Times New Roman" w:cs="Times New Roman"/>
          <w:sz w:val="24"/>
          <w:szCs w:val="24"/>
        </w:rPr>
        <w:br/>
      </w:r>
      <w:r w:rsidRPr="00D0425E">
        <w:rPr>
          <w:rFonts w:ascii="Times New Roman" w:hAnsi="Times New Roman" w:cs="Times New Roman"/>
          <w:sz w:val="24"/>
          <w:szCs w:val="24"/>
        </w:rPr>
        <w:br/>
      </w:r>
      <w:r w:rsidRPr="00D0425E">
        <w:rPr>
          <w:rFonts w:ascii="Times New Roman" w:hAnsi="Times New Roman" w:cs="Times New Roman"/>
          <w:sz w:val="24"/>
          <w:szCs w:val="24"/>
        </w:rPr>
        <w:lastRenderedPageBreak/>
        <w:t>18 - Informação foge do escopo do serviço a ser executado.</w:t>
      </w:r>
      <w:r w:rsidRPr="00D0425E">
        <w:rPr>
          <w:rFonts w:ascii="Times New Roman" w:hAnsi="Times New Roman" w:cs="Times New Roman"/>
          <w:sz w:val="24"/>
          <w:szCs w:val="24"/>
        </w:rPr>
        <w:br/>
      </w:r>
      <w:r w:rsidRPr="00D0425E">
        <w:rPr>
          <w:rFonts w:ascii="Times New Roman" w:hAnsi="Times New Roman" w:cs="Times New Roman"/>
          <w:sz w:val="24"/>
          <w:szCs w:val="24"/>
        </w:rPr>
        <w:br/>
        <w:t>19 - Informação foge do escopo do serviço a ser executado.</w:t>
      </w:r>
      <w:r w:rsidRPr="00D0425E">
        <w:rPr>
          <w:rFonts w:ascii="Times New Roman" w:hAnsi="Times New Roman" w:cs="Times New Roman"/>
          <w:sz w:val="24"/>
          <w:szCs w:val="24"/>
        </w:rPr>
        <w:br/>
      </w:r>
      <w:r w:rsidRPr="00D0425E">
        <w:rPr>
          <w:rFonts w:ascii="Times New Roman" w:hAnsi="Times New Roman" w:cs="Times New Roman"/>
          <w:sz w:val="24"/>
          <w:szCs w:val="24"/>
        </w:rPr>
        <w:br/>
        <w:t>20 - Conforme item 3 do edital.</w:t>
      </w:r>
      <w:r w:rsidRPr="00D0425E">
        <w:rPr>
          <w:rFonts w:ascii="Times New Roman" w:hAnsi="Times New Roman" w:cs="Times New Roman"/>
          <w:sz w:val="24"/>
          <w:szCs w:val="24"/>
        </w:rPr>
        <w:br/>
      </w:r>
      <w:r w:rsidRPr="00D0425E">
        <w:rPr>
          <w:rFonts w:ascii="Times New Roman" w:hAnsi="Times New Roman" w:cs="Times New Roman"/>
          <w:sz w:val="24"/>
          <w:szCs w:val="24"/>
        </w:rPr>
        <w:br/>
        <w:t>21 - O objeto do pregão é serviço de TI e não mão de obra residente, não cabe o contratante definir.</w:t>
      </w:r>
      <w:r w:rsidRPr="00D0425E">
        <w:rPr>
          <w:rFonts w:ascii="Times New Roman" w:hAnsi="Times New Roman" w:cs="Times New Roman"/>
          <w:sz w:val="24"/>
          <w:szCs w:val="24"/>
        </w:rPr>
        <w:br/>
      </w:r>
      <w:r w:rsidRPr="00D0425E">
        <w:rPr>
          <w:rFonts w:ascii="Times New Roman" w:hAnsi="Times New Roman" w:cs="Times New Roman"/>
          <w:sz w:val="24"/>
          <w:szCs w:val="24"/>
        </w:rPr>
        <w:br/>
        <w:t>22 - No trabalho presencial estar correto o entendimento.</w:t>
      </w:r>
      <w:r w:rsidRPr="00D0425E">
        <w:rPr>
          <w:rFonts w:ascii="Times New Roman" w:hAnsi="Times New Roman" w:cs="Times New Roman"/>
          <w:sz w:val="24"/>
          <w:szCs w:val="24"/>
        </w:rPr>
        <w:br/>
      </w:r>
      <w:r w:rsidRPr="00D0425E">
        <w:rPr>
          <w:rFonts w:ascii="Times New Roman" w:hAnsi="Times New Roman" w:cs="Times New Roman"/>
          <w:sz w:val="24"/>
          <w:szCs w:val="24"/>
        </w:rPr>
        <w:br/>
        <w:t>23 - A empresa utilizará o GPLI da Contratante.</w:t>
      </w:r>
      <w:r w:rsidRPr="00D0425E">
        <w:rPr>
          <w:rFonts w:ascii="Times New Roman" w:hAnsi="Times New Roman" w:cs="Times New Roman"/>
          <w:sz w:val="24"/>
          <w:szCs w:val="24"/>
        </w:rPr>
        <w:br/>
      </w:r>
      <w:r w:rsidRPr="00D0425E">
        <w:rPr>
          <w:rFonts w:ascii="Times New Roman" w:hAnsi="Times New Roman" w:cs="Times New Roman"/>
          <w:sz w:val="24"/>
          <w:szCs w:val="24"/>
        </w:rPr>
        <w:br/>
        <w:t>24 - A empresa deverá apresentar planilha de formação de preços conforme modelo constante no Anexo II do Edital.</w:t>
      </w:r>
      <w:r w:rsidRPr="00D0425E">
        <w:rPr>
          <w:rFonts w:ascii="Times New Roman" w:hAnsi="Times New Roman" w:cs="Times New Roman"/>
          <w:sz w:val="24"/>
          <w:szCs w:val="24"/>
        </w:rPr>
        <w:br/>
      </w:r>
      <w:r w:rsidRPr="00D0425E">
        <w:rPr>
          <w:rFonts w:ascii="Times New Roman" w:hAnsi="Times New Roman" w:cs="Times New Roman"/>
          <w:sz w:val="24"/>
          <w:szCs w:val="24"/>
        </w:rPr>
        <w:br/>
        <w:t>25 - O Edital não prevê conta vinculante.</w:t>
      </w:r>
      <w:r w:rsidRPr="00D0425E">
        <w:rPr>
          <w:rFonts w:ascii="Times New Roman" w:hAnsi="Times New Roman" w:cs="Times New Roman"/>
          <w:sz w:val="24"/>
          <w:szCs w:val="24"/>
        </w:rPr>
        <w:br/>
      </w:r>
      <w:r w:rsidRPr="00D0425E">
        <w:rPr>
          <w:rFonts w:ascii="Times New Roman" w:hAnsi="Times New Roman" w:cs="Times New Roman"/>
          <w:sz w:val="24"/>
          <w:szCs w:val="24"/>
        </w:rPr>
        <w:br/>
        <w:t>26 - o recolhimento tributário será conforme edital e legislação vigente.</w:t>
      </w:r>
      <w:r w:rsidRPr="00D0425E">
        <w:rPr>
          <w:rFonts w:ascii="Times New Roman" w:hAnsi="Times New Roman" w:cs="Times New Roman"/>
          <w:sz w:val="24"/>
          <w:szCs w:val="24"/>
        </w:rPr>
        <w:br/>
      </w:r>
      <w:r w:rsidRPr="00D0425E">
        <w:rPr>
          <w:rFonts w:ascii="Times New Roman" w:hAnsi="Times New Roman" w:cs="Times New Roman"/>
          <w:sz w:val="24"/>
          <w:szCs w:val="24"/>
        </w:rPr>
        <w:br/>
        <w:t>27 - A licitação é para prestação de serviços de TI, nos termos da portaria SGD/MGI nº 1.070/2023,</w:t>
      </w:r>
      <w:r w:rsidRPr="00D0425E">
        <w:rPr>
          <w:rFonts w:ascii="Times New Roman" w:hAnsi="Times New Roman" w:cs="Times New Roman"/>
          <w:sz w:val="24"/>
          <w:szCs w:val="24"/>
        </w:rPr>
        <w:br/>
      </w:r>
      <w:r w:rsidRPr="00D0425E">
        <w:rPr>
          <w:rFonts w:ascii="Times New Roman" w:hAnsi="Times New Roman" w:cs="Times New Roman"/>
          <w:sz w:val="24"/>
          <w:szCs w:val="24"/>
        </w:rPr>
        <w:br/>
        <w:t>28 - A licitação é para prestação de serviços de TI, nos termos da portaria SGD/MGI nº 1.070/2023 e a empresa deverá apresentar planilha de formação de preços conforme Anexo II do Edital.</w:t>
      </w:r>
    </w:p>
    <w:p w14:paraId="76F87D85" w14:textId="77777777" w:rsidR="00F82E9D" w:rsidRDefault="00F82E9D" w:rsidP="00F82E9D">
      <w:pPr>
        <w:rPr>
          <w:rFonts w:ascii="Times New Roman" w:hAnsi="Times New Roman" w:cs="Times New Roman"/>
          <w:sz w:val="24"/>
          <w:szCs w:val="24"/>
        </w:rPr>
      </w:pPr>
    </w:p>
    <w:sectPr w:rsidR="00F82E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9D"/>
    <w:rsid w:val="00015A75"/>
    <w:rsid w:val="000E65F8"/>
    <w:rsid w:val="00105976"/>
    <w:rsid w:val="001B52AA"/>
    <w:rsid w:val="00354DCD"/>
    <w:rsid w:val="0038288F"/>
    <w:rsid w:val="003F6334"/>
    <w:rsid w:val="005B6A82"/>
    <w:rsid w:val="00942306"/>
    <w:rsid w:val="009A0076"/>
    <w:rsid w:val="00A51332"/>
    <w:rsid w:val="00B60528"/>
    <w:rsid w:val="00D0425E"/>
    <w:rsid w:val="00D44E41"/>
    <w:rsid w:val="00D9026F"/>
    <w:rsid w:val="00F82E9D"/>
    <w:rsid w:val="00F96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B0B1"/>
  <w15:chartTrackingRefBased/>
  <w15:docId w15:val="{A0FF0264-0A6A-4EDD-8610-0A4B2218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82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82E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82E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82E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82E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2E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2E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2E9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E9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82E9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82E9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82E9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82E9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82E9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2E9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2E9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2E9D"/>
    <w:rPr>
      <w:rFonts w:eastAsiaTheme="majorEastAsia" w:cstheme="majorBidi"/>
      <w:color w:val="272727" w:themeColor="text1" w:themeTint="D8"/>
    </w:rPr>
  </w:style>
  <w:style w:type="paragraph" w:styleId="Ttulo">
    <w:name w:val="Title"/>
    <w:basedOn w:val="Normal"/>
    <w:next w:val="Normal"/>
    <w:link w:val="TtuloChar"/>
    <w:uiPriority w:val="10"/>
    <w:qFormat/>
    <w:rsid w:val="00F82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2E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2E9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2E9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2E9D"/>
    <w:pPr>
      <w:spacing w:before="160"/>
      <w:jc w:val="center"/>
    </w:pPr>
    <w:rPr>
      <w:i/>
      <w:iCs/>
      <w:color w:val="404040" w:themeColor="text1" w:themeTint="BF"/>
    </w:rPr>
  </w:style>
  <w:style w:type="character" w:customStyle="1" w:styleId="CitaoChar">
    <w:name w:val="Citação Char"/>
    <w:basedOn w:val="Fontepargpadro"/>
    <w:link w:val="Citao"/>
    <w:uiPriority w:val="29"/>
    <w:rsid w:val="00F82E9D"/>
    <w:rPr>
      <w:i/>
      <w:iCs/>
      <w:color w:val="404040" w:themeColor="text1" w:themeTint="BF"/>
    </w:rPr>
  </w:style>
  <w:style w:type="paragraph" w:styleId="PargrafodaLista">
    <w:name w:val="List Paragraph"/>
    <w:basedOn w:val="Normal"/>
    <w:uiPriority w:val="34"/>
    <w:qFormat/>
    <w:rsid w:val="00F82E9D"/>
    <w:pPr>
      <w:ind w:left="720"/>
      <w:contextualSpacing/>
    </w:pPr>
  </w:style>
  <w:style w:type="character" w:styleId="nfaseIntensa">
    <w:name w:val="Intense Emphasis"/>
    <w:basedOn w:val="Fontepargpadro"/>
    <w:uiPriority w:val="21"/>
    <w:qFormat/>
    <w:rsid w:val="00F82E9D"/>
    <w:rPr>
      <w:i/>
      <w:iCs/>
      <w:color w:val="0F4761" w:themeColor="accent1" w:themeShade="BF"/>
    </w:rPr>
  </w:style>
  <w:style w:type="paragraph" w:styleId="CitaoIntensa">
    <w:name w:val="Intense Quote"/>
    <w:basedOn w:val="Normal"/>
    <w:next w:val="Normal"/>
    <w:link w:val="CitaoIntensaChar"/>
    <w:uiPriority w:val="30"/>
    <w:qFormat/>
    <w:rsid w:val="00F8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82E9D"/>
    <w:rPr>
      <w:i/>
      <w:iCs/>
      <w:color w:val="0F4761" w:themeColor="accent1" w:themeShade="BF"/>
    </w:rPr>
  </w:style>
  <w:style w:type="character" w:styleId="RefernciaIntensa">
    <w:name w:val="Intense Reference"/>
    <w:basedOn w:val="Fontepargpadro"/>
    <w:uiPriority w:val="32"/>
    <w:qFormat/>
    <w:rsid w:val="00F82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7802">
      <w:bodyDiv w:val="1"/>
      <w:marLeft w:val="0"/>
      <w:marRight w:val="0"/>
      <w:marTop w:val="0"/>
      <w:marBottom w:val="0"/>
      <w:divBdr>
        <w:top w:val="none" w:sz="0" w:space="0" w:color="auto"/>
        <w:left w:val="none" w:sz="0" w:space="0" w:color="auto"/>
        <w:bottom w:val="none" w:sz="0" w:space="0" w:color="auto"/>
        <w:right w:val="none" w:sz="0" w:space="0" w:color="auto"/>
      </w:divBdr>
      <w:divsChild>
        <w:div w:id="1669094160">
          <w:marLeft w:val="-180"/>
          <w:marRight w:val="-180"/>
          <w:marTop w:val="0"/>
          <w:marBottom w:val="0"/>
          <w:divBdr>
            <w:top w:val="none" w:sz="0" w:space="0" w:color="auto"/>
            <w:left w:val="none" w:sz="0" w:space="0" w:color="auto"/>
            <w:bottom w:val="none" w:sz="0" w:space="0" w:color="auto"/>
            <w:right w:val="none" w:sz="0" w:space="0" w:color="auto"/>
          </w:divBdr>
          <w:divsChild>
            <w:div w:id="1319073249">
              <w:marLeft w:val="0"/>
              <w:marRight w:val="0"/>
              <w:marTop w:val="0"/>
              <w:marBottom w:val="0"/>
              <w:divBdr>
                <w:top w:val="none" w:sz="0" w:space="0" w:color="auto"/>
                <w:left w:val="none" w:sz="0" w:space="0" w:color="auto"/>
                <w:bottom w:val="none" w:sz="0" w:space="0" w:color="auto"/>
                <w:right w:val="none" w:sz="0" w:space="0" w:color="auto"/>
              </w:divBdr>
              <w:divsChild>
                <w:div w:id="1205361252">
                  <w:marLeft w:val="-180"/>
                  <w:marRight w:val="-180"/>
                  <w:marTop w:val="0"/>
                  <w:marBottom w:val="0"/>
                  <w:divBdr>
                    <w:top w:val="none" w:sz="0" w:space="0" w:color="auto"/>
                    <w:left w:val="none" w:sz="0" w:space="0" w:color="auto"/>
                    <w:bottom w:val="none" w:sz="0" w:space="0" w:color="auto"/>
                    <w:right w:val="none" w:sz="0" w:space="0" w:color="auto"/>
                  </w:divBdr>
                  <w:divsChild>
                    <w:div w:id="4156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1300">
              <w:marLeft w:val="0"/>
              <w:marRight w:val="0"/>
              <w:marTop w:val="180"/>
              <w:marBottom w:val="0"/>
              <w:divBdr>
                <w:top w:val="none" w:sz="0" w:space="0" w:color="auto"/>
                <w:left w:val="none" w:sz="0" w:space="0" w:color="auto"/>
                <w:bottom w:val="none" w:sz="0" w:space="0" w:color="auto"/>
                <w:right w:val="none" w:sz="0" w:space="0" w:color="auto"/>
              </w:divBdr>
              <w:divsChild>
                <w:div w:id="1265070236">
                  <w:marLeft w:val="-180"/>
                  <w:marRight w:val="-180"/>
                  <w:marTop w:val="0"/>
                  <w:marBottom w:val="0"/>
                  <w:divBdr>
                    <w:top w:val="none" w:sz="0" w:space="0" w:color="auto"/>
                    <w:left w:val="none" w:sz="0" w:space="0" w:color="auto"/>
                    <w:bottom w:val="none" w:sz="0" w:space="0" w:color="auto"/>
                    <w:right w:val="none" w:sz="0" w:space="0" w:color="auto"/>
                  </w:divBdr>
                  <w:divsChild>
                    <w:div w:id="17240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0983">
      <w:bodyDiv w:val="1"/>
      <w:marLeft w:val="0"/>
      <w:marRight w:val="0"/>
      <w:marTop w:val="0"/>
      <w:marBottom w:val="0"/>
      <w:divBdr>
        <w:top w:val="none" w:sz="0" w:space="0" w:color="auto"/>
        <w:left w:val="none" w:sz="0" w:space="0" w:color="auto"/>
        <w:bottom w:val="none" w:sz="0" w:space="0" w:color="auto"/>
        <w:right w:val="none" w:sz="0" w:space="0" w:color="auto"/>
      </w:divBdr>
      <w:divsChild>
        <w:div w:id="231737837">
          <w:marLeft w:val="-180"/>
          <w:marRight w:val="-180"/>
          <w:marTop w:val="0"/>
          <w:marBottom w:val="0"/>
          <w:divBdr>
            <w:top w:val="none" w:sz="0" w:space="0" w:color="auto"/>
            <w:left w:val="none" w:sz="0" w:space="0" w:color="auto"/>
            <w:bottom w:val="none" w:sz="0" w:space="0" w:color="auto"/>
            <w:right w:val="none" w:sz="0" w:space="0" w:color="auto"/>
          </w:divBdr>
          <w:divsChild>
            <w:div w:id="1785230534">
              <w:marLeft w:val="0"/>
              <w:marRight w:val="0"/>
              <w:marTop w:val="0"/>
              <w:marBottom w:val="0"/>
              <w:divBdr>
                <w:top w:val="none" w:sz="0" w:space="0" w:color="auto"/>
                <w:left w:val="none" w:sz="0" w:space="0" w:color="auto"/>
                <w:bottom w:val="none" w:sz="0" w:space="0" w:color="auto"/>
                <w:right w:val="none" w:sz="0" w:space="0" w:color="auto"/>
              </w:divBdr>
            </w:div>
          </w:divsChild>
        </w:div>
        <w:div w:id="947738794">
          <w:marLeft w:val="0"/>
          <w:marRight w:val="0"/>
          <w:marTop w:val="180"/>
          <w:marBottom w:val="0"/>
          <w:divBdr>
            <w:top w:val="none" w:sz="0" w:space="0" w:color="auto"/>
            <w:left w:val="none" w:sz="0" w:space="0" w:color="auto"/>
            <w:bottom w:val="none" w:sz="0" w:space="0" w:color="auto"/>
            <w:right w:val="none" w:sz="0" w:space="0" w:color="auto"/>
          </w:divBdr>
          <w:divsChild>
            <w:div w:id="2112048942">
              <w:marLeft w:val="-180"/>
              <w:marRight w:val="-180"/>
              <w:marTop w:val="0"/>
              <w:marBottom w:val="0"/>
              <w:divBdr>
                <w:top w:val="none" w:sz="0" w:space="0" w:color="auto"/>
                <w:left w:val="none" w:sz="0" w:space="0" w:color="auto"/>
                <w:bottom w:val="none" w:sz="0" w:space="0" w:color="auto"/>
                <w:right w:val="none" w:sz="0" w:space="0" w:color="auto"/>
              </w:divBdr>
              <w:divsChild>
                <w:div w:id="15667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5715">
      <w:bodyDiv w:val="1"/>
      <w:marLeft w:val="0"/>
      <w:marRight w:val="0"/>
      <w:marTop w:val="0"/>
      <w:marBottom w:val="0"/>
      <w:divBdr>
        <w:top w:val="none" w:sz="0" w:space="0" w:color="auto"/>
        <w:left w:val="none" w:sz="0" w:space="0" w:color="auto"/>
        <w:bottom w:val="none" w:sz="0" w:space="0" w:color="auto"/>
        <w:right w:val="none" w:sz="0" w:space="0" w:color="auto"/>
      </w:divBdr>
      <w:divsChild>
        <w:div w:id="2016878472">
          <w:marLeft w:val="-180"/>
          <w:marRight w:val="-180"/>
          <w:marTop w:val="0"/>
          <w:marBottom w:val="0"/>
          <w:divBdr>
            <w:top w:val="none" w:sz="0" w:space="0" w:color="auto"/>
            <w:left w:val="none" w:sz="0" w:space="0" w:color="auto"/>
            <w:bottom w:val="none" w:sz="0" w:space="0" w:color="auto"/>
            <w:right w:val="none" w:sz="0" w:space="0" w:color="auto"/>
          </w:divBdr>
          <w:divsChild>
            <w:div w:id="352731951">
              <w:marLeft w:val="0"/>
              <w:marRight w:val="0"/>
              <w:marTop w:val="0"/>
              <w:marBottom w:val="0"/>
              <w:divBdr>
                <w:top w:val="none" w:sz="0" w:space="0" w:color="auto"/>
                <w:left w:val="none" w:sz="0" w:space="0" w:color="auto"/>
                <w:bottom w:val="none" w:sz="0" w:space="0" w:color="auto"/>
                <w:right w:val="none" w:sz="0" w:space="0" w:color="auto"/>
              </w:divBdr>
            </w:div>
          </w:divsChild>
        </w:div>
        <w:div w:id="1524440403">
          <w:marLeft w:val="0"/>
          <w:marRight w:val="0"/>
          <w:marTop w:val="180"/>
          <w:marBottom w:val="0"/>
          <w:divBdr>
            <w:top w:val="none" w:sz="0" w:space="0" w:color="auto"/>
            <w:left w:val="none" w:sz="0" w:space="0" w:color="auto"/>
            <w:bottom w:val="none" w:sz="0" w:space="0" w:color="auto"/>
            <w:right w:val="none" w:sz="0" w:space="0" w:color="auto"/>
          </w:divBdr>
          <w:divsChild>
            <w:div w:id="1153446547">
              <w:marLeft w:val="-180"/>
              <w:marRight w:val="-180"/>
              <w:marTop w:val="0"/>
              <w:marBottom w:val="0"/>
              <w:divBdr>
                <w:top w:val="none" w:sz="0" w:space="0" w:color="auto"/>
                <w:left w:val="none" w:sz="0" w:space="0" w:color="auto"/>
                <w:bottom w:val="none" w:sz="0" w:space="0" w:color="auto"/>
                <w:right w:val="none" w:sz="0" w:space="0" w:color="auto"/>
              </w:divBdr>
              <w:divsChild>
                <w:div w:id="11269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18714">
      <w:bodyDiv w:val="1"/>
      <w:marLeft w:val="0"/>
      <w:marRight w:val="0"/>
      <w:marTop w:val="0"/>
      <w:marBottom w:val="0"/>
      <w:divBdr>
        <w:top w:val="none" w:sz="0" w:space="0" w:color="auto"/>
        <w:left w:val="none" w:sz="0" w:space="0" w:color="auto"/>
        <w:bottom w:val="none" w:sz="0" w:space="0" w:color="auto"/>
        <w:right w:val="none" w:sz="0" w:space="0" w:color="auto"/>
      </w:divBdr>
      <w:divsChild>
        <w:div w:id="1101411887">
          <w:marLeft w:val="-180"/>
          <w:marRight w:val="-180"/>
          <w:marTop w:val="0"/>
          <w:marBottom w:val="0"/>
          <w:divBdr>
            <w:top w:val="none" w:sz="0" w:space="0" w:color="auto"/>
            <w:left w:val="none" w:sz="0" w:space="0" w:color="auto"/>
            <w:bottom w:val="none" w:sz="0" w:space="0" w:color="auto"/>
            <w:right w:val="none" w:sz="0" w:space="0" w:color="auto"/>
          </w:divBdr>
          <w:divsChild>
            <w:div w:id="736395128">
              <w:marLeft w:val="0"/>
              <w:marRight w:val="0"/>
              <w:marTop w:val="0"/>
              <w:marBottom w:val="0"/>
              <w:divBdr>
                <w:top w:val="none" w:sz="0" w:space="0" w:color="auto"/>
                <w:left w:val="none" w:sz="0" w:space="0" w:color="auto"/>
                <w:bottom w:val="none" w:sz="0" w:space="0" w:color="auto"/>
                <w:right w:val="none" w:sz="0" w:space="0" w:color="auto"/>
              </w:divBdr>
            </w:div>
          </w:divsChild>
        </w:div>
        <w:div w:id="213397288">
          <w:marLeft w:val="0"/>
          <w:marRight w:val="0"/>
          <w:marTop w:val="180"/>
          <w:marBottom w:val="0"/>
          <w:divBdr>
            <w:top w:val="none" w:sz="0" w:space="0" w:color="auto"/>
            <w:left w:val="none" w:sz="0" w:space="0" w:color="auto"/>
            <w:bottom w:val="none" w:sz="0" w:space="0" w:color="auto"/>
            <w:right w:val="none" w:sz="0" w:space="0" w:color="auto"/>
          </w:divBdr>
          <w:divsChild>
            <w:div w:id="1745563531">
              <w:marLeft w:val="-180"/>
              <w:marRight w:val="-180"/>
              <w:marTop w:val="0"/>
              <w:marBottom w:val="0"/>
              <w:divBdr>
                <w:top w:val="none" w:sz="0" w:space="0" w:color="auto"/>
                <w:left w:val="none" w:sz="0" w:space="0" w:color="auto"/>
                <w:bottom w:val="none" w:sz="0" w:space="0" w:color="auto"/>
                <w:right w:val="none" w:sz="0" w:space="0" w:color="auto"/>
              </w:divBdr>
              <w:divsChild>
                <w:div w:id="12759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128">
      <w:bodyDiv w:val="1"/>
      <w:marLeft w:val="0"/>
      <w:marRight w:val="0"/>
      <w:marTop w:val="0"/>
      <w:marBottom w:val="0"/>
      <w:divBdr>
        <w:top w:val="none" w:sz="0" w:space="0" w:color="auto"/>
        <w:left w:val="none" w:sz="0" w:space="0" w:color="auto"/>
        <w:bottom w:val="none" w:sz="0" w:space="0" w:color="auto"/>
        <w:right w:val="none" w:sz="0" w:space="0" w:color="auto"/>
      </w:divBdr>
      <w:divsChild>
        <w:div w:id="272565848">
          <w:marLeft w:val="-180"/>
          <w:marRight w:val="-180"/>
          <w:marTop w:val="0"/>
          <w:marBottom w:val="0"/>
          <w:divBdr>
            <w:top w:val="none" w:sz="0" w:space="0" w:color="auto"/>
            <w:left w:val="none" w:sz="0" w:space="0" w:color="auto"/>
            <w:bottom w:val="none" w:sz="0" w:space="0" w:color="auto"/>
            <w:right w:val="none" w:sz="0" w:space="0" w:color="auto"/>
          </w:divBdr>
          <w:divsChild>
            <w:div w:id="1425029798">
              <w:marLeft w:val="0"/>
              <w:marRight w:val="0"/>
              <w:marTop w:val="0"/>
              <w:marBottom w:val="0"/>
              <w:divBdr>
                <w:top w:val="none" w:sz="0" w:space="0" w:color="auto"/>
                <w:left w:val="none" w:sz="0" w:space="0" w:color="auto"/>
                <w:bottom w:val="none" w:sz="0" w:space="0" w:color="auto"/>
                <w:right w:val="none" w:sz="0" w:space="0" w:color="auto"/>
              </w:divBdr>
            </w:div>
          </w:divsChild>
        </w:div>
        <w:div w:id="1812363090">
          <w:marLeft w:val="0"/>
          <w:marRight w:val="0"/>
          <w:marTop w:val="180"/>
          <w:marBottom w:val="0"/>
          <w:divBdr>
            <w:top w:val="none" w:sz="0" w:space="0" w:color="auto"/>
            <w:left w:val="none" w:sz="0" w:space="0" w:color="auto"/>
            <w:bottom w:val="none" w:sz="0" w:space="0" w:color="auto"/>
            <w:right w:val="none" w:sz="0" w:space="0" w:color="auto"/>
          </w:divBdr>
          <w:divsChild>
            <w:div w:id="175845879">
              <w:marLeft w:val="-180"/>
              <w:marRight w:val="-180"/>
              <w:marTop w:val="0"/>
              <w:marBottom w:val="0"/>
              <w:divBdr>
                <w:top w:val="none" w:sz="0" w:space="0" w:color="auto"/>
                <w:left w:val="none" w:sz="0" w:space="0" w:color="auto"/>
                <w:bottom w:val="none" w:sz="0" w:space="0" w:color="auto"/>
                <w:right w:val="none" w:sz="0" w:space="0" w:color="auto"/>
              </w:divBdr>
              <w:divsChild>
                <w:div w:id="1527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08380">
      <w:bodyDiv w:val="1"/>
      <w:marLeft w:val="0"/>
      <w:marRight w:val="0"/>
      <w:marTop w:val="0"/>
      <w:marBottom w:val="0"/>
      <w:divBdr>
        <w:top w:val="none" w:sz="0" w:space="0" w:color="auto"/>
        <w:left w:val="none" w:sz="0" w:space="0" w:color="auto"/>
        <w:bottom w:val="none" w:sz="0" w:space="0" w:color="auto"/>
        <w:right w:val="none" w:sz="0" w:space="0" w:color="auto"/>
      </w:divBdr>
      <w:divsChild>
        <w:div w:id="1017195555">
          <w:marLeft w:val="-180"/>
          <w:marRight w:val="-180"/>
          <w:marTop w:val="0"/>
          <w:marBottom w:val="0"/>
          <w:divBdr>
            <w:top w:val="none" w:sz="0" w:space="0" w:color="auto"/>
            <w:left w:val="none" w:sz="0" w:space="0" w:color="auto"/>
            <w:bottom w:val="none" w:sz="0" w:space="0" w:color="auto"/>
            <w:right w:val="none" w:sz="0" w:space="0" w:color="auto"/>
          </w:divBdr>
          <w:divsChild>
            <w:div w:id="1177576787">
              <w:marLeft w:val="0"/>
              <w:marRight w:val="0"/>
              <w:marTop w:val="0"/>
              <w:marBottom w:val="0"/>
              <w:divBdr>
                <w:top w:val="none" w:sz="0" w:space="0" w:color="auto"/>
                <w:left w:val="none" w:sz="0" w:space="0" w:color="auto"/>
                <w:bottom w:val="none" w:sz="0" w:space="0" w:color="auto"/>
                <w:right w:val="none" w:sz="0" w:space="0" w:color="auto"/>
              </w:divBdr>
            </w:div>
          </w:divsChild>
        </w:div>
        <w:div w:id="276104494">
          <w:marLeft w:val="0"/>
          <w:marRight w:val="0"/>
          <w:marTop w:val="180"/>
          <w:marBottom w:val="0"/>
          <w:divBdr>
            <w:top w:val="none" w:sz="0" w:space="0" w:color="auto"/>
            <w:left w:val="none" w:sz="0" w:space="0" w:color="auto"/>
            <w:bottom w:val="none" w:sz="0" w:space="0" w:color="auto"/>
            <w:right w:val="none" w:sz="0" w:space="0" w:color="auto"/>
          </w:divBdr>
          <w:divsChild>
            <w:div w:id="1495687152">
              <w:marLeft w:val="-180"/>
              <w:marRight w:val="-180"/>
              <w:marTop w:val="0"/>
              <w:marBottom w:val="0"/>
              <w:divBdr>
                <w:top w:val="none" w:sz="0" w:space="0" w:color="auto"/>
                <w:left w:val="none" w:sz="0" w:space="0" w:color="auto"/>
                <w:bottom w:val="none" w:sz="0" w:space="0" w:color="auto"/>
                <w:right w:val="none" w:sz="0" w:space="0" w:color="auto"/>
              </w:divBdr>
              <w:divsChild>
                <w:div w:id="1170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20831">
      <w:bodyDiv w:val="1"/>
      <w:marLeft w:val="0"/>
      <w:marRight w:val="0"/>
      <w:marTop w:val="0"/>
      <w:marBottom w:val="0"/>
      <w:divBdr>
        <w:top w:val="none" w:sz="0" w:space="0" w:color="auto"/>
        <w:left w:val="none" w:sz="0" w:space="0" w:color="auto"/>
        <w:bottom w:val="none" w:sz="0" w:space="0" w:color="auto"/>
        <w:right w:val="none" w:sz="0" w:space="0" w:color="auto"/>
      </w:divBdr>
      <w:divsChild>
        <w:div w:id="2112819858">
          <w:marLeft w:val="-180"/>
          <w:marRight w:val="-180"/>
          <w:marTop w:val="0"/>
          <w:marBottom w:val="0"/>
          <w:divBdr>
            <w:top w:val="none" w:sz="0" w:space="0" w:color="auto"/>
            <w:left w:val="none" w:sz="0" w:space="0" w:color="auto"/>
            <w:bottom w:val="none" w:sz="0" w:space="0" w:color="auto"/>
            <w:right w:val="none" w:sz="0" w:space="0" w:color="auto"/>
          </w:divBdr>
          <w:divsChild>
            <w:div w:id="1391272011">
              <w:marLeft w:val="0"/>
              <w:marRight w:val="0"/>
              <w:marTop w:val="0"/>
              <w:marBottom w:val="0"/>
              <w:divBdr>
                <w:top w:val="none" w:sz="0" w:space="0" w:color="auto"/>
                <w:left w:val="none" w:sz="0" w:space="0" w:color="auto"/>
                <w:bottom w:val="none" w:sz="0" w:space="0" w:color="auto"/>
                <w:right w:val="none" w:sz="0" w:space="0" w:color="auto"/>
              </w:divBdr>
            </w:div>
          </w:divsChild>
        </w:div>
        <w:div w:id="31078405">
          <w:marLeft w:val="0"/>
          <w:marRight w:val="0"/>
          <w:marTop w:val="180"/>
          <w:marBottom w:val="0"/>
          <w:divBdr>
            <w:top w:val="none" w:sz="0" w:space="0" w:color="auto"/>
            <w:left w:val="none" w:sz="0" w:space="0" w:color="auto"/>
            <w:bottom w:val="none" w:sz="0" w:space="0" w:color="auto"/>
            <w:right w:val="none" w:sz="0" w:space="0" w:color="auto"/>
          </w:divBdr>
          <w:divsChild>
            <w:div w:id="1704088715">
              <w:marLeft w:val="-180"/>
              <w:marRight w:val="-180"/>
              <w:marTop w:val="0"/>
              <w:marBottom w:val="0"/>
              <w:divBdr>
                <w:top w:val="none" w:sz="0" w:space="0" w:color="auto"/>
                <w:left w:val="none" w:sz="0" w:space="0" w:color="auto"/>
                <w:bottom w:val="none" w:sz="0" w:space="0" w:color="auto"/>
                <w:right w:val="none" w:sz="0" w:space="0" w:color="auto"/>
              </w:divBdr>
              <w:divsChild>
                <w:div w:id="19123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6071">
      <w:bodyDiv w:val="1"/>
      <w:marLeft w:val="0"/>
      <w:marRight w:val="0"/>
      <w:marTop w:val="0"/>
      <w:marBottom w:val="0"/>
      <w:divBdr>
        <w:top w:val="none" w:sz="0" w:space="0" w:color="auto"/>
        <w:left w:val="none" w:sz="0" w:space="0" w:color="auto"/>
        <w:bottom w:val="none" w:sz="0" w:space="0" w:color="auto"/>
        <w:right w:val="none" w:sz="0" w:space="0" w:color="auto"/>
      </w:divBdr>
      <w:divsChild>
        <w:div w:id="1427382797">
          <w:marLeft w:val="-180"/>
          <w:marRight w:val="-180"/>
          <w:marTop w:val="0"/>
          <w:marBottom w:val="0"/>
          <w:divBdr>
            <w:top w:val="none" w:sz="0" w:space="0" w:color="auto"/>
            <w:left w:val="none" w:sz="0" w:space="0" w:color="auto"/>
            <w:bottom w:val="none" w:sz="0" w:space="0" w:color="auto"/>
            <w:right w:val="none" w:sz="0" w:space="0" w:color="auto"/>
          </w:divBdr>
          <w:divsChild>
            <w:div w:id="289089985">
              <w:marLeft w:val="0"/>
              <w:marRight w:val="0"/>
              <w:marTop w:val="0"/>
              <w:marBottom w:val="0"/>
              <w:divBdr>
                <w:top w:val="none" w:sz="0" w:space="0" w:color="auto"/>
                <w:left w:val="none" w:sz="0" w:space="0" w:color="auto"/>
                <w:bottom w:val="none" w:sz="0" w:space="0" w:color="auto"/>
                <w:right w:val="none" w:sz="0" w:space="0" w:color="auto"/>
              </w:divBdr>
            </w:div>
          </w:divsChild>
        </w:div>
        <w:div w:id="1295020709">
          <w:marLeft w:val="0"/>
          <w:marRight w:val="0"/>
          <w:marTop w:val="180"/>
          <w:marBottom w:val="0"/>
          <w:divBdr>
            <w:top w:val="none" w:sz="0" w:space="0" w:color="auto"/>
            <w:left w:val="none" w:sz="0" w:space="0" w:color="auto"/>
            <w:bottom w:val="none" w:sz="0" w:space="0" w:color="auto"/>
            <w:right w:val="none" w:sz="0" w:space="0" w:color="auto"/>
          </w:divBdr>
          <w:divsChild>
            <w:div w:id="883832140">
              <w:marLeft w:val="-180"/>
              <w:marRight w:val="-180"/>
              <w:marTop w:val="0"/>
              <w:marBottom w:val="0"/>
              <w:divBdr>
                <w:top w:val="none" w:sz="0" w:space="0" w:color="auto"/>
                <w:left w:val="none" w:sz="0" w:space="0" w:color="auto"/>
                <w:bottom w:val="none" w:sz="0" w:space="0" w:color="auto"/>
                <w:right w:val="none" w:sz="0" w:space="0" w:color="auto"/>
              </w:divBdr>
              <w:divsChild>
                <w:div w:id="1823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2641">
      <w:bodyDiv w:val="1"/>
      <w:marLeft w:val="0"/>
      <w:marRight w:val="0"/>
      <w:marTop w:val="0"/>
      <w:marBottom w:val="0"/>
      <w:divBdr>
        <w:top w:val="none" w:sz="0" w:space="0" w:color="auto"/>
        <w:left w:val="none" w:sz="0" w:space="0" w:color="auto"/>
        <w:bottom w:val="none" w:sz="0" w:space="0" w:color="auto"/>
        <w:right w:val="none" w:sz="0" w:space="0" w:color="auto"/>
      </w:divBdr>
      <w:divsChild>
        <w:div w:id="1780251458">
          <w:marLeft w:val="-180"/>
          <w:marRight w:val="-180"/>
          <w:marTop w:val="0"/>
          <w:marBottom w:val="0"/>
          <w:divBdr>
            <w:top w:val="none" w:sz="0" w:space="0" w:color="auto"/>
            <w:left w:val="none" w:sz="0" w:space="0" w:color="auto"/>
            <w:bottom w:val="none" w:sz="0" w:space="0" w:color="auto"/>
            <w:right w:val="none" w:sz="0" w:space="0" w:color="auto"/>
          </w:divBdr>
          <w:divsChild>
            <w:div w:id="589048898">
              <w:marLeft w:val="0"/>
              <w:marRight w:val="0"/>
              <w:marTop w:val="0"/>
              <w:marBottom w:val="0"/>
              <w:divBdr>
                <w:top w:val="none" w:sz="0" w:space="0" w:color="auto"/>
                <w:left w:val="none" w:sz="0" w:space="0" w:color="auto"/>
                <w:bottom w:val="none" w:sz="0" w:space="0" w:color="auto"/>
                <w:right w:val="none" w:sz="0" w:space="0" w:color="auto"/>
              </w:divBdr>
            </w:div>
          </w:divsChild>
        </w:div>
        <w:div w:id="205878369">
          <w:marLeft w:val="0"/>
          <w:marRight w:val="0"/>
          <w:marTop w:val="180"/>
          <w:marBottom w:val="0"/>
          <w:divBdr>
            <w:top w:val="none" w:sz="0" w:space="0" w:color="auto"/>
            <w:left w:val="none" w:sz="0" w:space="0" w:color="auto"/>
            <w:bottom w:val="none" w:sz="0" w:space="0" w:color="auto"/>
            <w:right w:val="none" w:sz="0" w:space="0" w:color="auto"/>
          </w:divBdr>
          <w:divsChild>
            <w:div w:id="284695414">
              <w:marLeft w:val="-180"/>
              <w:marRight w:val="-180"/>
              <w:marTop w:val="0"/>
              <w:marBottom w:val="0"/>
              <w:divBdr>
                <w:top w:val="none" w:sz="0" w:space="0" w:color="auto"/>
                <w:left w:val="none" w:sz="0" w:space="0" w:color="auto"/>
                <w:bottom w:val="none" w:sz="0" w:space="0" w:color="auto"/>
                <w:right w:val="none" w:sz="0" w:space="0" w:color="auto"/>
              </w:divBdr>
              <w:divsChild>
                <w:div w:id="799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18756">
      <w:bodyDiv w:val="1"/>
      <w:marLeft w:val="0"/>
      <w:marRight w:val="0"/>
      <w:marTop w:val="0"/>
      <w:marBottom w:val="0"/>
      <w:divBdr>
        <w:top w:val="none" w:sz="0" w:space="0" w:color="auto"/>
        <w:left w:val="none" w:sz="0" w:space="0" w:color="auto"/>
        <w:bottom w:val="none" w:sz="0" w:space="0" w:color="auto"/>
        <w:right w:val="none" w:sz="0" w:space="0" w:color="auto"/>
      </w:divBdr>
      <w:divsChild>
        <w:div w:id="254095655">
          <w:marLeft w:val="-180"/>
          <w:marRight w:val="-180"/>
          <w:marTop w:val="0"/>
          <w:marBottom w:val="0"/>
          <w:divBdr>
            <w:top w:val="none" w:sz="0" w:space="0" w:color="auto"/>
            <w:left w:val="none" w:sz="0" w:space="0" w:color="auto"/>
            <w:bottom w:val="none" w:sz="0" w:space="0" w:color="auto"/>
            <w:right w:val="none" w:sz="0" w:space="0" w:color="auto"/>
          </w:divBdr>
          <w:divsChild>
            <w:div w:id="669531104">
              <w:marLeft w:val="0"/>
              <w:marRight w:val="0"/>
              <w:marTop w:val="0"/>
              <w:marBottom w:val="0"/>
              <w:divBdr>
                <w:top w:val="none" w:sz="0" w:space="0" w:color="auto"/>
                <w:left w:val="none" w:sz="0" w:space="0" w:color="auto"/>
                <w:bottom w:val="none" w:sz="0" w:space="0" w:color="auto"/>
                <w:right w:val="none" w:sz="0" w:space="0" w:color="auto"/>
              </w:divBdr>
            </w:div>
          </w:divsChild>
        </w:div>
        <w:div w:id="2019306931">
          <w:marLeft w:val="0"/>
          <w:marRight w:val="0"/>
          <w:marTop w:val="180"/>
          <w:marBottom w:val="0"/>
          <w:divBdr>
            <w:top w:val="none" w:sz="0" w:space="0" w:color="auto"/>
            <w:left w:val="none" w:sz="0" w:space="0" w:color="auto"/>
            <w:bottom w:val="none" w:sz="0" w:space="0" w:color="auto"/>
            <w:right w:val="none" w:sz="0" w:space="0" w:color="auto"/>
          </w:divBdr>
          <w:divsChild>
            <w:div w:id="671294069">
              <w:marLeft w:val="-180"/>
              <w:marRight w:val="-180"/>
              <w:marTop w:val="0"/>
              <w:marBottom w:val="0"/>
              <w:divBdr>
                <w:top w:val="none" w:sz="0" w:space="0" w:color="auto"/>
                <w:left w:val="none" w:sz="0" w:space="0" w:color="auto"/>
                <w:bottom w:val="none" w:sz="0" w:space="0" w:color="auto"/>
                <w:right w:val="none" w:sz="0" w:space="0" w:color="auto"/>
              </w:divBdr>
              <w:divsChild>
                <w:div w:id="104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6599">
      <w:bodyDiv w:val="1"/>
      <w:marLeft w:val="0"/>
      <w:marRight w:val="0"/>
      <w:marTop w:val="0"/>
      <w:marBottom w:val="0"/>
      <w:divBdr>
        <w:top w:val="none" w:sz="0" w:space="0" w:color="auto"/>
        <w:left w:val="none" w:sz="0" w:space="0" w:color="auto"/>
        <w:bottom w:val="none" w:sz="0" w:space="0" w:color="auto"/>
        <w:right w:val="none" w:sz="0" w:space="0" w:color="auto"/>
      </w:divBdr>
      <w:divsChild>
        <w:div w:id="420219956">
          <w:marLeft w:val="-180"/>
          <w:marRight w:val="-18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sChild>
        </w:div>
        <w:div w:id="1600407610">
          <w:marLeft w:val="0"/>
          <w:marRight w:val="0"/>
          <w:marTop w:val="180"/>
          <w:marBottom w:val="0"/>
          <w:divBdr>
            <w:top w:val="none" w:sz="0" w:space="0" w:color="auto"/>
            <w:left w:val="none" w:sz="0" w:space="0" w:color="auto"/>
            <w:bottom w:val="none" w:sz="0" w:space="0" w:color="auto"/>
            <w:right w:val="none" w:sz="0" w:space="0" w:color="auto"/>
          </w:divBdr>
          <w:divsChild>
            <w:div w:id="1601911087">
              <w:marLeft w:val="-180"/>
              <w:marRight w:val="-180"/>
              <w:marTop w:val="0"/>
              <w:marBottom w:val="0"/>
              <w:divBdr>
                <w:top w:val="none" w:sz="0" w:space="0" w:color="auto"/>
                <w:left w:val="none" w:sz="0" w:space="0" w:color="auto"/>
                <w:bottom w:val="none" w:sz="0" w:space="0" w:color="auto"/>
                <w:right w:val="none" w:sz="0" w:space="0" w:color="auto"/>
              </w:divBdr>
              <w:divsChild>
                <w:div w:id="9428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4075">
      <w:bodyDiv w:val="1"/>
      <w:marLeft w:val="0"/>
      <w:marRight w:val="0"/>
      <w:marTop w:val="0"/>
      <w:marBottom w:val="0"/>
      <w:divBdr>
        <w:top w:val="none" w:sz="0" w:space="0" w:color="auto"/>
        <w:left w:val="none" w:sz="0" w:space="0" w:color="auto"/>
        <w:bottom w:val="none" w:sz="0" w:space="0" w:color="auto"/>
        <w:right w:val="none" w:sz="0" w:space="0" w:color="auto"/>
      </w:divBdr>
      <w:divsChild>
        <w:div w:id="828717817">
          <w:marLeft w:val="-180"/>
          <w:marRight w:val="-180"/>
          <w:marTop w:val="0"/>
          <w:marBottom w:val="0"/>
          <w:divBdr>
            <w:top w:val="none" w:sz="0" w:space="0" w:color="auto"/>
            <w:left w:val="none" w:sz="0" w:space="0" w:color="auto"/>
            <w:bottom w:val="none" w:sz="0" w:space="0" w:color="auto"/>
            <w:right w:val="none" w:sz="0" w:space="0" w:color="auto"/>
          </w:divBdr>
          <w:divsChild>
            <w:div w:id="5988621">
              <w:marLeft w:val="0"/>
              <w:marRight w:val="0"/>
              <w:marTop w:val="0"/>
              <w:marBottom w:val="0"/>
              <w:divBdr>
                <w:top w:val="none" w:sz="0" w:space="0" w:color="auto"/>
                <w:left w:val="none" w:sz="0" w:space="0" w:color="auto"/>
                <w:bottom w:val="none" w:sz="0" w:space="0" w:color="auto"/>
                <w:right w:val="none" w:sz="0" w:space="0" w:color="auto"/>
              </w:divBdr>
              <w:divsChild>
                <w:div w:id="751512996">
                  <w:marLeft w:val="-180"/>
                  <w:marRight w:val="-180"/>
                  <w:marTop w:val="0"/>
                  <w:marBottom w:val="0"/>
                  <w:divBdr>
                    <w:top w:val="none" w:sz="0" w:space="0" w:color="auto"/>
                    <w:left w:val="none" w:sz="0" w:space="0" w:color="auto"/>
                    <w:bottom w:val="none" w:sz="0" w:space="0" w:color="auto"/>
                    <w:right w:val="none" w:sz="0" w:space="0" w:color="auto"/>
                  </w:divBdr>
                  <w:divsChild>
                    <w:div w:id="220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2544">
              <w:marLeft w:val="0"/>
              <w:marRight w:val="0"/>
              <w:marTop w:val="180"/>
              <w:marBottom w:val="0"/>
              <w:divBdr>
                <w:top w:val="none" w:sz="0" w:space="0" w:color="auto"/>
                <w:left w:val="none" w:sz="0" w:space="0" w:color="auto"/>
                <w:bottom w:val="none" w:sz="0" w:space="0" w:color="auto"/>
                <w:right w:val="none" w:sz="0" w:space="0" w:color="auto"/>
              </w:divBdr>
              <w:divsChild>
                <w:div w:id="1679506975">
                  <w:marLeft w:val="-180"/>
                  <w:marRight w:val="-180"/>
                  <w:marTop w:val="0"/>
                  <w:marBottom w:val="0"/>
                  <w:divBdr>
                    <w:top w:val="none" w:sz="0" w:space="0" w:color="auto"/>
                    <w:left w:val="none" w:sz="0" w:space="0" w:color="auto"/>
                    <w:bottom w:val="none" w:sz="0" w:space="0" w:color="auto"/>
                    <w:right w:val="none" w:sz="0" w:space="0" w:color="auto"/>
                  </w:divBdr>
                  <w:divsChild>
                    <w:div w:id="151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1889</Words>
  <Characters>10206</Characters>
  <Application>Microsoft Office Word</Application>
  <DocSecurity>0</DocSecurity>
  <Lines>85</Lines>
  <Paragraphs>24</Paragraphs>
  <ScaleCrop>false</ScaleCrop>
  <Company/>
  <LinksUpToDate>false</LinksUpToDate>
  <CharactersWithSpaces>12071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Vanuza Pereira Valverde</cp:lastModifiedBy>
  <cp:revision>4</cp:revision>
  <dcterms:created xsi:type="dcterms:W3CDTF">2024-10-18T18:16:00Z</dcterms:created>
  <dcterms:modified xsi:type="dcterms:W3CDTF">2024-10-18T18:31:00Z</dcterms:modified>
</cp:coreProperties>
</file>