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217C3" w14:textId="1032D689" w:rsidR="00105976" w:rsidRDefault="00F82E9D" w:rsidP="00F82E9D">
      <w:pPr>
        <w:rPr>
          <w:rFonts w:ascii="Times New Roman" w:hAnsi="Times New Roman" w:cs="Times New Roman"/>
          <w:sz w:val="24"/>
          <w:szCs w:val="24"/>
        </w:rPr>
      </w:pPr>
      <w:r>
        <w:rPr>
          <w:rFonts w:ascii="Times New Roman" w:hAnsi="Times New Roman" w:cs="Times New Roman"/>
          <w:sz w:val="24"/>
          <w:szCs w:val="24"/>
        </w:rPr>
        <w:t xml:space="preserve">Pedido de Esclarecimentos </w:t>
      </w:r>
      <w:r w:rsidR="0070722C">
        <w:rPr>
          <w:rFonts w:ascii="Times New Roman" w:hAnsi="Times New Roman" w:cs="Times New Roman"/>
          <w:sz w:val="24"/>
          <w:szCs w:val="24"/>
        </w:rPr>
        <w:t>6</w:t>
      </w:r>
      <w:bookmarkStart w:id="0" w:name="_GoBack"/>
      <w:bookmarkEnd w:id="0"/>
    </w:p>
    <w:p w14:paraId="39F3B026" w14:textId="77777777" w:rsidR="005C13C9" w:rsidRDefault="005C13C9" w:rsidP="00F82E9D">
      <w:pPr>
        <w:rPr>
          <w:rFonts w:ascii="Times New Roman" w:hAnsi="Times New Roman" w:cs="Times New Roman"/>
          <w:sz w:val="24"/>
          <w:szCs w:val="24"/>
        </w:rPr>
      </w:pPr>
    </w:p>
    <w:p w14:paraId="56356717" w14:textId="77777777" w:rsidR="005C13C9" w:rsidRPr="005C13C9" w:rsidRDefault="005C13C9" w:rsidP="005C13C9">
      <w:pPr>
        <w:rPr>
          <w:rFonts w:ascii="Times New Roman" w:hAnsi="Times New Roman" w:cs="Times New Roman"/>
          <w:sz w:val="24"/>
          <w:szCs w:val="24"/>
        </w:rPr>
      </w:pPr>
      <w:r w:rsidRPr="005C13C9">
        <w:rPr>
          <w:rFonts w:ascii="Times New Roman" w:hAnsi="Times New Roman" w:cs="Times New Roman"/>
          <w:sz w:val="24"/>
          <w:szCs w:val="24"/>
        </w:rPr>
        <w:t>Questionamentos</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Trazemos situação excepcional ocorrida no cenário nacional e que afeta diretamente a formulação das propostas de preços no presente certame.</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O objeto licitado é pertinente a atividades vinculadas ao Setor de Tecnologia, Informática e Comunicações. Este Setor foi beneficiado desde o ano de 2011 com a desoneração da folha de pagamentos, que estabeleceu a contribuição previdenciária sobre a receita bruta (CPRB) na alíquota de 4,5% sobre a receita (faturamento), excluindo as empresas do setor do recolhimento a título de Contribuição ao INSS de 20% por cento sobre a folha de pagamento.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 xml:space="preserve">Ocorre que na data de 16/09/2024 foi sancionada e publicada a LEI Nº 14.973/2024 (https://www.in.gov.br/en/web/dou/-/lei-n-14.973-de-16-de-setembro-de-2024-584578926), que estabeleceu regime de transição para a contribuição substitutiva prevista nos </w:t>
      </w:r>
      <w:proofErr w:type="spellStart"/>
      <w:r w:rsidRPr="005C13C9">
        <w:rPr>
          <w:rFonts w:ascii="Times New Roman" w:hAnsi="Times New Roman" w:cs="Times New Roman"/>
          <w:sz w:val="24"/>
          <w:szCs w:val="24"/>
        </w:rPr>
        <w:t>arts</w:t>
      </w:r>
      <w:proofErr w:type="spellEnd"/>
      <w:r w:rsidRPr="005C13C9">
        <w:rPr>
          <w:rFonts w:ascii="Times New Roman" w:hAnsi="Times New Roman" w:cs="Times New Roman"/>
          <w:sz w:val="24"/>
          <w:szCs w:val="24"/>
        </w:rPr>
        <w:t>. 7º e 8º da Lei nº 12.546/2011 – a CPRB, a qual sofrerá alteração a partir de 01/01/2025, quando se iniciará a volta da “oneração” de forma gradual conforme detalhado a seguir:</w:t>
      </w:r>
      <w:r w:rsidRPr="005C13C9">
        <w:rPr>
          <w:rFonts w:ascii="Times New Roman" w:hAnsi="Times New Roman" w:cs="Times New Roman"/>
          <w:sz w:val="24"/>
          <w:szCs w:val="24"/>
        </w:rPr>
        <w:br/>
      </w:r>
      <w:r w:rsidRPr="005C13C9">
        <w:rPr>
          <w:rFonts w:ascii="Times New Roman" w:hAnsi="Times New Roman" w:cs="Times New Roman"/>
          <w:sz w:val="24"/>
          <w:szCs w:val="24"/>
        </w:rPr>
        <w:br/>
        <w:t>2024</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não haverá (desoneração da folha)</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1% a 4,5%</w:t>
      </w:r>
      <w:r w:rsidRPr="005C13C9">
        <w:rPr>
          <w:rFonts w:ascii="Times New Roman" w:hAnsi="Times New Roman" w:cs="Times New Roman"/>
          <w:sz w:val="24"/>
          <w:szCs w:val="24"/>
        </w:rPr>
        <w:br/>
      </w:r>
      <w:r w:rsidRPr="005C13C9">
        <w:rPr>
          <w:rFonts w:ascii="Times New Roman" w:hAnsi="Times New Roman" w:cs="Times New Roman"/>
          <w:sz w:val="24"/>
          <w:szCs w:val="24"/>
        </w:rPr>
        <w:br/>
        <w:t>2025</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5%</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0,8% a 3,6%</w:t>
      </w:r>
      <w:r w:rsidRPr="005C13C9">
        <w:rPr>
          <w:rFonts w:ascii="Times New Roman" w:hAnsi="Times New Roman" w:cs="Times New Roman"/>
          <w:sz w:val="24"/>
          <w:szCs w:val="24"/>
        </w:rPr>
        <w:br/>
      </w:r>
      <w:r w:rsidRPr="005C13C9">
        <w:rPr>
          <w:rFonts w:ascii="Times New Roman" w:hAnsi="Times New Roman" w:cs="Times New Roman"/>
          <w:sz w:val="24"/>
          <w:szCs w:val="24"/>
        </w:rPr>
        <w:br/>
        <w:t>2026</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10%</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0,6% a 2,7%</w:t>
      </w:r>
      <w:r w:rsidRPr="005C13C9">
        <w:rPr>
          <w:rFonts w:ascii="Times New Roman" w:hAnsi="Times New Roman" w:cs="Times New Roman"/>
          <w:sz w:val="24"/>
          <w:szCs w:val="24"/>
        </w:rPr>
        <w:br/>
      </w:r>
      <w:r w:rsidRPr="005C13C9">
        <w:rPr>
          <w:rFonts w:ascii="Times New Roman" w:hAnsi="Times New Roman" w:cs="Times New Roman"/>
          <w:sz w:val="24"/>
          <w:szCs w:val="24"/>
        </w:rPr>
        <w:br/>
        <w:t>2027</w:t>
      </w:r>
      <w:r w:rsidRPr="005C13C9">
        <w:rPr>
          <w:rFonts w:ascii="Times New Roman" w:hAnsi="Times New Roman" w:cs="Times New Roman"/>
          <w:sz w:val="24"/>
          <w:szCs w:val="24"/>
        </w:rPr>
        <w:br/>
      </w:r>
      <w:r w:rsidRPr="005C13C9">
        <w:rPr>
          <w:rFonts w:ascii="Times New Roman" w:hAnsi="Times New Roman" w:cs="Times New Roman"/>
          <w:sz w:val="24"/>
          <w:szCs w:val="24"/>
        </w:rPr>
        <w:lastRenderedPageBreak/>
        <w:br/>
        <w:t>Contribuição previdenciária: 15%</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0,4% a 1,5%</w:t>
      </w:r>
      <w:r w:rsidRPr="005C13C9">
        <w:rPr>
          <w:rFonts w:ascii="Times New Roman" w:hAnsi="Times New Roman" w:cs="Times New Roman"/>
          <w:sz w:val="24"/>
          <w:szCs w:val="24"/>
        </w:rPr>
        <w:br/>
      </w:r>
      <w:r w:rsidRPr="005C13C9">
        <w:rPr>
          <w:rFonts w:ascii="Times New Roman" w:hAnsi="Times New Roman" w:cs="Times New Roman"/>
          <w:sz w:val="24"/>
          <w:szCs w:val="24"/>
        </w:rPr>
        <w:br/>
        <w:t>2028</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previdenciária: 20% (</w:t>
      </w:r>
      <w:proofErr w:type="spellStart"/>
      <w:r w:rsidRPr="005C13C9">
        <w:rPr>
          <w:rFonts w:ascii="Times New Roman" w:hAnsi="Times New Roman" w:cs="Times New Roman"/>
          <w:sz w:val="24"/>
          <w:szCs w:val="24"/>
        </w:rPr>
        <w:t>reoneração</w:t>
      </w:r>
      <w:proofErr w:type="spellEnd"/>
      <w:r w:rsidRPr="005C13C9">
        <w:rPr>
          <w:rFonts w:ascii="Times New Roman" w:hAnsi="Times New Roman" w:cs="Times New Roman"/>
          <w:sz w:val="24"/>
          <w:szCs w:val="24"/>
        </w:rPr>
        <w:t xml:space="preserve"> integral)</w:t>
      </w:r>
      <w:r w:rsidRPr="005C13C9">
        <w:rPr>
          <w:rFonts w:ascii="Times New Roman" w:hAnsi="Times New Roman" w:cs="Times New Roman"/>
          <w:sz w:val="24"/>
          <w:szCs w:val="24"/>
        </w:rPr>
        <w:br/>
      </w:r>
      <w:r w:rsidRPr="005C13C9">
        <w:rPr>
          <w:rFonts w:ascii="Times New Roman" w:hAnsi="Times New Roman" w:cs="Times New Roman"/>
          <w:sz w:val="24"/>
          <w:szCs w:val="24"/>
        </w:rPr>
        <w:br/>
        <w:t>Contribuição sobre faturamento: não haverá</w:t>
      </w:r>
      <w:r w:rsidRPr="005C13C9">
        <w:rPr>
          <w:rFonts w:ascii="Times New Roman" w:hAnsi="Times New Roman" w:cs="Times New Roman"/>
          <w:sz w:val="24"/>
          <w:szCs w:val="24"/>
        </w:rPr>
        <w:br/>
      </w:r>
      <w:r w:rsidRPr="005C13C9">
        <w:rPr>
          <w:rFonts w:ascii="Times New Roman" w:hAnsi="Times New Roman" w:cs="Times New Roman"/>
          <w:sz w:val="24"/>
          <w:szCs w:val="24"/>
        </w:rPr>
        <w:br/>
        <w:t>Entendemos que, considerando o fato de que o orçamento estimado da Licitação foi elaborado considerando a incidência da CPRB para atividades de TIC (objeto licitado) então vigente, conforme “ANEXO IV - Planilha de Detalhamento do Orçamento Estimativo”, entendemos que as propostas deverão ser apresentadas considerando a alíquota que estará vigente da data da apresentação da proposta até o dia 31/12/2024 (CPRB de 4,5%), sendo que o futuro contrato será reequilibrado a partir de 2025, considerando a transição gradual das alíquotas até 31/12/2027. Está correto nosso entendimento?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Caso o entendimento não esteja correto, solicitamos o adiamento do certame para que seja melhor esclarecida a questão, considerando que trata-se de legislação nova, que entrou em vigor às vésperas da Licitação, ou mesmo, que seja feito o ajuste do valor estimado da licitação, adequando-o à nova realidade da contribuição previdenciária, já que orçamento par a contratação atual foi elaborado sem considerar as mudanças da lei em questão.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O item 3.1.5 do “TERMO DE REFERÊNCIA” informa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“3.1.5. A remuneração mínima para cada perfil profissional foi definida utilizando mapa de pesquisa salarial de referência para serviços de operação de infraestrutura (https://www.gov.br/governodigital/pt-br/contratacoes/mapa-pesquisa-salarial-portaria--sgd-mgi-070-2023.xlsx) publicada periodicamente pela Governo Federal a seguir:”</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 xml:space="preserve">Entendemos que os valores salariais apresentados na tabela desse item são apenas exemplos e que as licitantes podem utilizar valores diferentes, seja para mais ou para menos, desde que atenda aos níveis mínimos de serviços exigidos no edital, já que a contratação é de serviços baseada em valor fixo mensal com pagamento vinculado a resultados de acordo com os requisitos e exigências previstos no Termo de Referência e não está vincula a alocação exclusiva de profissionais ou quantidade mínima de profissionais e salários, conforme versa o 3.1.1 do Termo de Referência. Está correto </w:t>
      </w:r>
      <w:r w:rsidRPr="005C13C9">
        <w:rPr>
          <w:rFonts w:ascii="Times New Roman" w:hAnsi="Times New Roman" w:cs="Times New Roman"/>
          <w:sz w:val="24"/>
          <w:szCs w:val="24"/>
        </w:rPr>
        <w:lastRenderedPageBreak/>
        <w:t>nosso entendimento? Caso o entendimento não esteja correto, solicitamos a gentileza de esclarecer.</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Nosso entendimento tem como base a própria Portaria SGD/MGI N° 1.070/2023, citada pela Contratante, que em seu item 10.7.3.5 determina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“10.7.3.5. Ressalta-se que a estimativa de remuneração dos profissionais serve apenas como insumo para obtenção do preço de referência da contratação e não vincula a execução contratual, porquanto a Instrução Normativa SGD/ME nº 94, de 2022, veda que seja prevista em edital a remuneração dos funcionários do contratado.”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A portaria em questão deixa claro que a estimativa de remuneração dos profissionais não se vincula a execução contratual, logo, não há obrigatoriedade de utilização dos salários referenciais durante a execução contratual.</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O item 3.1.4 do termo de referência informa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“3.1.4. A critério do CONTRATANTE, durante o contrato e através de Ordem de Serviço (O.S), poderão ser alocados mais profissionais para a prestação dos serviços, até o limite, conforme tabela abaixo:” (grifo nosso)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Entendemos que a quantidade de profissionais apresentada na tabela desse item é apenas um exemplo e que as licitantes podem apresentar quantidade diferentes, seja para mais ou para menos, desde que atenda aos níveis de serviços exigidos no edital, já que a contratação é de serviços, baseada em valor fixo mensal com pagamento vinculado a resultados de acordo com os requisitos e exigências previstos no Termo de Referência e não está vincula a alocação exclusiva de profissionais ou quantidade mínima de profissionais e salários,. Está correto nosso entendimento? Caso o entendimento não esteja correto, solicitamos a gentileza de esclarecer.</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Nosso entendimento tem como base a própria Portaria SGD/MGI N° 1.070/2023, citada pela Contratante, que em seu artigo 2° determina o seguinte:</w:t>
      </w:r>
      <w:r w:rsidRPr="005C13C9">
        <w:rPr>
          <w:rFonts w:ascii="Times New Roman" w:hAnsi="Times New Roman" w:cs="Times New Roman"/>
          <w:sz w:val="24"/>
          <w:szCs w:val="24"/>
        </w:rPr>
        <w:br/>
      </w:r>
      <w:r w:rsidRPr="005C13C9">
        <w:rPr>
          <w:rFonts w:ascii="Times New Roman" w:hAnsi="Times New Roman" w:cs="Times New Roman"/>
          <w:sz w:val="24"/>
          <w:szCs w:val="24"/>
        </w:rPr>
        <w:br/>
        <w:t>“Art. 2º A contratação de serviços de operação de infraestrutura e atendimento a usuários de Tecnologia da Informação e Comunicação deverá ser realizada por meio de modelo de pagamento fixo mensal, vinculada exclusivamente ao atendimento de níveis mínimos de serviços previamente estabelecidos.</w:t>
      </w:r>
      <w:r w:rsidRPr="005C13C9">
        <w:rPr>
          <w:rFonts w:ascii="Times New Roman" w:hAnsi="Times New Roman" w:cs="Times New Roman"/>
          <w:sz w:val="24"/>
          <w:szCs w:val="24"/>
        </w:rPr>
        <w:br/>
      </w:r>
      <w:r w:rsidRPr="005C13C9">
        <w:rPr>
          <w:rFonts w:ascii="Times New Roman" w:hAnsi="Times New Roman" w:cs="Times New Roman"/>
          <w:sz w:val="24"/>
          <w:szCs w:val="24"/>
        </w:rPr>
        <w:lastRenderedPageBreak/>
        <w:br/>
        <w:t>Parágrafo único. O modelo não se configura como de dedicação exclusiva de mão de obra, contratação por homem/hora e tampouco por postos de trabalho.”</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A portaria em questão deixa claro que os serviços devem ser realizados por meio de modelo de pagamento fixo mensal, vinculada exclusivamente ao atendimento de níveis mínimos de serviços, logo, não há obrigatoriedade de utilização da quantidade de profissionais utilizadas para estimativa orçamentária.</w:t>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r>
      <w:r w:rsidRPr="005C13C9">
        <w:rPr>
          <w:rFonts w:ascii="Times New Roman" w:hAnsi="Times New Roman" w:cs="Times New Roman"/>
          <w:sz w:val="24"/>
          <w:szCs w:val="24"/>
        </w:rPr>
        <w:br/>
        <w:t>Atenciosamente,</w:t>
      </w:r>
    </w:p>
    <w:p w14:paraId="59C0C67B" w14:textId="77777777" w:rsidR="005C13C9" w:rsidRPr="005C13C9" w:rsidRDefault="005C13C9" w:rsidP="005C13C9">
      <w:pPr>
        <w:rPr>
          <w:rFonts w:ascii="Times New Roman" w:hAnsi="Times New Roman" w:cs="Times New Roman"/>
          <w:sz w:val="24"/>
          <w:szCs w:val="24"/>
        </w:rPr>
      </w:pPr>
      <w:r w:rsidRPr="005C13C9">
        <w:rPr>
          <w:rFonts w:ascii="Times New Roman" w:hAnsi="Times New Roman" w:cs="Times New Roman"/>
          <w:sz w:val="24"/>
          <w:szCs w:val="24"/>
        </w:rPr>
        <w:t>Prezados, segue respostas ao vosso pedido de esclarecimento:</w:t>
      </w:r>
      <w:r w:rsidRPr="005C13C9">
        <w:rPr>
          <w:rFonts w:ascii="Times New Roman" w:hAnsi="Times New Roman" w:cs="Times New Roman"/>
          <w:sz w:val="24"/>
          <w:szCs w:val="24"/>
        </w:rPr>
        <w:br/>
      </w:r>
      <w:r w:rsidRPr="005C13C9">
        <w:rPr>
          <w:rFonts w:ascii="Times New Roman" w:hAnsi="Times New Roman" w:cs="Times New Roman"/>
          <w:sz w:val="24"/>
          <w:szCs w:val="24"/>
        </w:rPr>
        <w:br/>
        <w:t>1 - A proposta deverá ser elaborada conforme planilha de custos constante no Anexo II do Edital.</w:t>
      </w:r>
      <w:r w:rsidRPr="005C13C9">
        <w:rPr>
          <w:rFonts w:ascii="Times New Roman" w:hAnsi="Times New Roman" w:cs="Times New Roman"/>
          <w:sz w:val="24"/>
          <w:szCs w:val="24"/>
        </w:rPr>
        <w:br/>
      </w:r>
      <w:r w:rsidRPr="005C13C9">
        <w:rPr>
          <w:rFonts w:ascii="Times New Roman" w:hAnsi="Times New Roman" w:cs="Times New Roman"/>
          <w:sz w:val="24"/>
          <w:szCs w:val="24"/>
        </w:rPr>
        <w:br/>
        <w:t>2 - Não estar correto o entendimento. O Edital limitou somente a remuneração mínima, valores maiores ficam a critério da contratada.</w:t>
      </w:r>
      <w:r w:rsidRPr="005C13C9">
        <w:rPr>
          <w:rFonts w:ascii="Times New Roman" w:hAnsi="Times New Roman" w:cs="Times New Roman"/>
          <w:sz w:val="24"/>
          <w:szCs w:val="24"/>
        </w:rPr>
        <w:br/>
      </w:r>
      <w:r w:rsidRPr="005C13C9">
        <w:rPr>
          <w:rFonts w:ascii="Times New Roman" w:hAnsi="Times New Roman" w:cs="Times New Roman"/>
          <w:sz w:val="24"/>
          <w:szCs w:val="24"/>
        </w:rPr>
        <w:br/>
        <w:t>Conforme normativos internos o objeto utilizou o modelo baseado em valor fixo mensal por alocação de profissionais de TI, com pagamento vinculado a resultados. Esse modelo também é de observância obrigatória adotado pela Secretaria de Governo Digital do Ministério da Economia, em atenção a Portaria SGD/MGI nº 1.070, de 1º de junho de 2023, em atendimento às recomendações constantes do Acórdão nº 2.037/2019 – TCU – Plenário e Acórdão nº 1.508/2020 – TCU – Plenário, ou seja, não é caracterizado alocação exclusiva.</w:t>
      </w:r>
      <w:r w:rsidRPr="005C13C9">
        <w:rPr>
          <w:rFonts w:ascii="Times New Roman" w:hAnsi="Times New Roman" w:cs="Times New Roman"/>
          <w:sz w:val="24"/>
          <w:szCs w:val="24"/>
        </w:rPr>
        <w:br/>
      </w:r>
      <w:r w:rsidRPr="005C13C9">
        <w:rPr>
          <w:rFonts w:ascii="Times New Roman" w:hAnsi="Times New Roman" w:cs="Times New Roman"/>
          <w:sz w:val="24"/>
          <w:szCs w:val="24"/>
        </w:rPr>
        <w:br/>
        <w:t>3 - Não estar correto o entendimento. O quantitativo mínimo e máximo alocado e perfil profissional será determinado pela ordem de serviço respectiva no limite no edital, não cabendo a contratada essa decisão.</w:t>
      </w:r>
      <w:r w:rsidRPr="005C13C9">
        <w:rPr>
          <w:rFonts w:ascii="Times New Roman" w:hAnsi="Times New Roman" w:cs="Times New Roman"/>
          <w:sz w:val="24"/>
          <w:szCs w:val="24"/>
        </w:rPr>
        <w:br/>
      </w:r>
      <w:r w:rsidRPr="005C13C9">
        <w:rPr>
          <w:rFonts w:ascii="Times New Roman" w:hAnsi="Times New Roman" w:cs="Times New Roman"/>
          <w:sz w:val="24"/>
          <w:szCs w:val="24"/>
        </w:rPr>
        <w:br/>
        <w:t>4 - Em que pese a interpretação da referida portaria estar totalmente equivocada. Os dispositivos da Portaria e Instrução Normativo SGD/MGI foram utilizados como referência não sendo mandatórios a esse Conselho.</w:t>
      </w:r>
      <w:r w:rsidRPr="005C13C9">
        <w:rPr>
          <w:rFonts w:ascii="Times New Roman" w:hAnsi="Times New Roman" w:cs="Times New Roman"/>
          <w:sz w:val="24"/>
          <w:szCs w:val="24"/>
        </w:rPr>
        <w:br/>
        <w:t>O quantitativo mínimo e máximo alocado e perfil profissional será determinado pela ordem de serviço respectiva no limite no edital, não cabendo a contratada essa decisão.</w:t>
      </w:r>
      <w:r w:rsidRPr="005C13C9">
        <w:rPr>
          <w:rFonts w:ascii="Times New Roman" w:hAnsi="Times New Roman" w:cs="Times New Roman"/>
          <w:sz w:val="24"/>
          <w:szCs w:val="24"/>
        </w:rPr>
        <w:br/>
      </w:r>
      <w:r w:rsidRPr="005C13C9">
        <w:rPr>
          <w:rFonts w:ascii="Times New Roman" w:hAnsi="Times New Roman" w:cs="Times New Roman"/>
          <w:sz w:val="24"/>
          <w:szCs w:val="24"/>
        </w:rPr>
        <w:br/>
        <w:t>O formato e execução do objeto seguem normativos internos e justificativas técnicas motivadas pelo TR/ETP.</w:t>
      </w:r>
    </w:p>
    <w:p w14:paraId="6AD1DA39" w14:textId="77777777" w:rsidR="005C13C9" w:rsidRDefault="005C13C9" w:rsidP="00F82E9D">
      <w:pPr>
        <w:rPr>
          <w:rFonts w:ascii="Times New Roman" w:hAnsi="Times New Roman" w:cs="Times New Roman"/>
          <w:sz w:val="24"/>
          <w:szCs w:val="24"/>
        </w:rPr>
      </w:pPr>
    </w:p>
    <w:p w14:paraId="7D46F23B" w14:textId="77777777" w:rsidR="00D9026F" w:rsidRDefault="00D9026F" w:rsidP="00F82E9D">
      <w:pPr>
        <w:rPr>
          <w:rFonts w:ascii="Times New Roman" w:hAnsi="Times New Roman" w:cs="Times New Roman"/>
          <w:sz w:val="24"/>
          <w:szCs w:val="24"/>
        </w:rPr>
      </w:pPr>
    </w:p>
    <w:sectPr w:rsidR="00D902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9D"/>
    <w:rsid w:val="00015A75"/>
    <w:rsid w:val="000E65F8"/>
    <w:rsid w:val="00105976"/>
    <w:rsid w:val="001B52AA"/>
    <w:rsid w:val="00354DCD"/>
    <w:rsid w:val="0038288F"/>
    <w:rsid w:val="003F6334"/>
    <w:rsid w:val="0041471C"/>
    <w:rsid w:val="005B6A82"/>
    <w:rsid w:val="005C13C9"/>
    <w:rsid w:val="0070722C"/>
    <w:rsid w:val="00710647"/>
    <w:rsid w:val="007374E8"/>
    <w:rsid w:val="00747F50"/>
    <w:rsid w:val="00942306"/>
    <w:rsid w:val="009A0076"/>
    <w:rsid w:val="00A51332"/>
    <w:rsid w:val="00D0425E"/>
    <w:rsid w:val="00D44E41"/>
    <w:rsid w:val="00D9026F"/>
    <w:rsid w:val="00DD39AC"/>
    <w:rsid w:val="00F82E9D"/>
    <w:rsid w:val="00F96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B0B1"/>
  <w15:chartTrackingRefBased/>
  <w15:docId w15:val="{A0FF0264-0A6A-4EDD-8610-0A4B2218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F82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82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82E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82E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82E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82E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2E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2E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2E9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E9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82E9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82E9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82E9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82E9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82E9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2E9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2E9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2E9D"/>
    <w:rPr>
      <w:rFonts w:eastAsiaTheme="majorEastAsia" w:cstheme="majorBidi"/>
      <w:color w:val="272727" w:themeColor="text1" w:themeTint="D8"/>
    </w:rPr>
  </w:style>
  <w:style w:type="paragraph" w:styleId="Ttulo">
    <w:name w:val="Title"/>
    <w:basedOn w:val="Normal"/>
    <w:next w:val="Normal"/>
    <w:link w:val="TtuloChar"/>
    <w:uiPriority w:val="10"/>
    <w:qFormat/>
    <w:rsid w:val="00F82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2E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2E9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2E9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2E9D"/>
    <w:pPr>
      <w:spacing w:before="160"/>
      <w:jc w:val="center"/>
    </w:pPr>
    <w:rPr>
      <w:i/>
      <w:iCs/>
      <w:color w:val="404040" w:themeColor="text1" w:themeTint="BF"/>
    </w:rPr>
  </w:style>
  <w:style w:type="character" w:customStyle="1" w:styleId="CitaoChar">
    <w:name w:val="Citação Char"/>
    <w:basedOn w:val="Fontepargpadro"/>
    <w:link w:val="Citao"/>
    <w:uiPriority w:val="29"/>
    <w:rsid w:val="00F82E9D"/>
    <w:rPr>
      <w:i/>
      <w:iCs/>
      <w:color w:val="404040" w:themeColor="text1" w:themeTint="BF"/>
    </w:rPr>
  </w:style>
  <w:style w:type="paragraph" w:styleId="PargrafodaLista">
    <w:name w:val="List Paragraph"/>
    <w:basedOn w:val="Normal"/>
    <w:uiPriority w:val="34"/>
    <w:qFormat/>
    <w:rsid w:val="00F82E9D"/>
    <w:pPr>
      <w:ind w:left="720"/>
      <w:contextualSpacing/>
    </w:pPr>
  </w:style>
  <w:style w:type="character" w:styleId="nfaseIntensa">
    <w:name w:val="Intense Emphasis"/>
    <w:basedOn w:val="Fontepargpadro"/>
    <w:uiPriority w:val="21"/>
    <w:qFormat/>
    <w:rsid w:val="00F82E9D"/>
    <w:rPr>
      <w:i/>
      <w:iCs/>
      <w:color w:val="0F4761" w:themeColor="accent1" w:themeShade="BF"/>
    </w:rPr>
  </w:style>
  <w:style w:type="paragraph" w:styleId="CitaoIntensa">
    <w:name w:val="Intense Quote"/>
    <w:basedOn w:val="Normal"/>
    <w:next w:val="Normal"/>
    <w:link w:val="CitaoIntensaChar"/>
    <w:uiPriority w:val="30"/>
    <w:qFormat/>
    <w:rsid w:val="00F82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82E9D"/>
    <w:rPr>
      <w:i/>
      <w:iCs/>
      <w:color w:val="0F4761" w:themeColor="accent1" w:themeShade="BF"/>
    </w:rPr>
  </w:style>
  <w:style w:type="character" w:styleId="RefernciaIntensa">
    <w:name w:val="Intense Reference"/>
    <w:basedOn w:val="Fontepargpadro"/>
    <w:uiPriority w:val="32"/>
    <w:qFormat/>
    <w:rsid w:val="00F82E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47802">
      <w:bodyDiv w:val="1"/>
      <w:marLeft w:val="0"/>
      <w:marRight w:val="0"/>
      <w:marTop w:val="0"/>
      <w:marBottom w:val="0"/>
      <w:divBdr>
        <w:top w:val="none" w:sz="0" w:space="0" w:color="auto"/>
        <w:left w:val="none" w:sz="0" w:space="0" w:color="auto"/>
        <w:bottom w:val="none" w:sz="0" w:space="0" w:color="auto"/>
        <w:right w:val="none" w:sz="0" w:space="0" w:color="auto"/>
      </w:divBdr>
      <w:divsChild>
        <w:div w:id="1669094160">
          <w:marLeft w:val="-180"/>
          <w:marRight w:val="-180"/>
          <w:marTop w:val="0"/>
          <w:marBottom w:val="0"/>
          <w:divBdr>
            <w:top w:val="none" w:sz="0" w:space="0" w:color="auto"/>
            <w:left w:val="none" w:sz="0" w:space="0" w:color="auto"/>
            <w:bottom w:val="none" w:sz="0" w:space="0" w:color="auto"/>
            <w:right w:val="none" w:sz="0" w:space="0" w:color="auto"/>
          </w:divBdr>
          <w:divsChild>
            <w:div w:id="1319073249">
              <w:marLeft w:val="0"/>
              <w:marRight w:val="0"/>
              <w:marTop w:val="0"/>
              <w:marBottom w:val="0"/>
              <w:divBdr>
                <w:top w:val="none" w:sz="0" w:space="0" w:color="auto"/>
                <w:left w:val="none" w:sz="0" w:space="0" w:color="auto"/>
                <w:bottom w:val="none" w:sz="0" w:space="0" w:color="auto"/>
                <w:right w:val="none" w:sz="0" w:space="0" w:color="auto"/>
              </w:divBdr>
              <w:divsChild>
                <w:div w:id="1205361252">
                  <w:marLeft w:val="-180"/>
                  <w:marRight w:val="-180"/>
                  <w:marTop w:val="0"/>
                  <w:marBottom w:val="0"/>
                  <w:divBdr>
                    <w:top w:val="none" w:sz="0" w:space="0" w:color="auto"/>
                    <w:left w:val="none" w:sz="0" w:space="0" w:color="auto"/>
                    <w:bottom w:val="none" w:sz="0" w:space="0" w:color="auto"/>
                    <w:right w:val="none" w:sz="0" w:space="0" w:color="auto"/>
                  </w:divBdr>
                  <w:divsChild>
                    <w:div w:id="4156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61300">
              <w:marLeft w:val="0"/>
              <w:marRight w:val="0"/>
              <w:marTop w:val="180"/>
              <w:marBottom w:val="0"/>
              <w:divBdr>
                <w:top w:val="none" w:sz="0" w:space="0" w:color="auto"/>
                <w:left w:val="none" w:sz="0" w:space="0" w:color="auto"/>
                <w:bottom w:val="none" w:sz="0" w:space="0" w:color="auto"/>
                <w:right w:val="none" w:sz="0" w:space="0" w:color="auto"/>
              </w:divBdr>
              <w:divsChild>
                <w:div w:id="1265070236">
                  <w:marLeft w:val="-180"/>
                  <w:marRight w:val="-180"/>
                  <w:marTop w:val="0"/>
                  <w:marBottom w:val="0"/>
                  <w:divBdr>
                    <w:top w:val="none" w:sz="0" w:space="0" w:color="auto"/>
                    <w:left w:val="none" w:sz="0" w:space="0" w:color="auto"/>
                    <w:bottom w:val="none" w:sz="0" w:space="0" w:color="auto"/>
                    <w:right w:val="none" w:sz="0" w:space="0" w:color="auto"/>
                  </w:divBdr>
                  <w:divsChild>
                    <w:div w:id="17240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0983">
      <w:bodyDiv w:val="1"/>
      <w:marLeft w:val="0"/>
      <w:marRight w:val="0"/>
      <w:marTop w:val="0"/>
      <w:marBottom w:val="0"/>
      <w:divBdr>
        <w:top w:val="none" w:sz="0" w:space="0" w:color="auto"/>
        <w:left w:val="none" w:sz="0" w:space="0" w:color="auto"/>
        <w:bottom w:val="none" w:sz="0" w:space="0" w:color="auto"/>
        <w:right w:val="none" w:sz="0" w:space="0" w:color="auto"/>
      </w:divBdr>
      <w:divsChild>
        <w:div w:id="231737837">
          <w:marLeft w:val="-180"/>
          <w:marRight w:val="-180"/>
          <w:marTop w:val="0"/>
          <w:marBottom w:val="0"/>
          <w:divBdr>
            <w:top w:val="none" w:sz="0" w:space="0" w:color="auto"/>
            <w:left w:val="none" w:sz="0" w:space="0" w:color="auto"/>
            <w:bottom w:val="none" w:sz="0" w:space="0" w:color="auto"/>
            <w:right w:val="none" w:sz="0" w:space="0" w:color="auto"/>
          </w:divBdr>
          <w:divsChild>
            <w:div w:id="1785230534">
              <w:marLeft w:val="0"/>
              <w:marRight w:val="0"/>
              <w:marTop w:val="0"/>
              <w:marBottom w:val="0"/>
              <w:divBdr>
                <w:top w:val="none" w:sz="0" w:space="0" w:color="auto"/>
                <w:left w:val="none" w:sz="0" w:space="0" w:color="auto"/>
                <w:bottom w:val="none" w:sz="0" w:space="0" w:color="auto"/>
                <w:right w:val="none" w:sz="0" w:space="0" w:color="auto"/>
              </w:divBdr>
            </w:div>
          </w:divsChild>
        </w:div>
        <w:div w:id="947738794">
          <w:marLeft w:val="0"/>
          <w:marRight w:val="0"/>
          <w:marTop w:val="180"/>
          <w:marBottom w:val="0"/>
          <w:divBdr>
            <w:top w:val="none" w:sz="0" w:space="0" w:color="auto"/>
            <w:left w:val="none" w:sz="0" w:space="0" w:color="auto"/>
            <w:bottom w:val="none" w:sz="0" w:space="0" w:color="auto"/>
            <w:right w:val="none" w:sz="0" w:space="0" w:color="auto"/>
          </w:divBdr>
          <w:divsChild>
            <w:div w:id="2112048942">
              <w:marLeft w:val="-180"/>
              <w:marRight w:val="-180"/>
              <w:marTop w:val="0"/>
              <w:marBottom w:val="0"/>
              <w:divBdr>
                <w:top w:val="none" w:sz="0" w:space="0" w:color="auto"/>
                <w:left w:val="none" w:sz="0" w:space="0" w:color="auto"/>
                <w:bottom w:val="none" w:sz="0" w:space="0" w:color="auto"/>
                <w:right w:val="none" w:sz="0" w:space="0" w:color="auto"/>
              </w:divBdr>
              <w:divsChild>
                <w:div w:id="15667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89686">
      <w:bodyDiv w:val="1"/>
      <w:marLeft w:val="0"/>
      <w:marRight w:val="0"/>
      <w:marTop w:val="0"/>
      <w:marBottom w:val="0"/>
      <w:divBdr>
        <w:top w:val="none" w:sz="0" w:space="0" w:color="auto"/>
        <w:left w:val="none" w:sz="0" w:space="0" w:color="auto"/>
        <w:bottom w:val="none" w:sz="0" w:space="0" w:color="auto"/>
        <w:right w:val="none" w:sz="0" w:space="0" w:color="auto"/>
      </w:divBdr>
      <w:divsChild>
        <w:div w:id="1629582254">
          <w:marLeft w:val="-180"/>
          <w:marRight w:val="-180"/>
          <w:marTop w:val="0"/>
          <w:marBottom w:val="0"/>
          <w:divBdr>
            <w:top w:val="none" w:sz="0" w:space="0" w:color="auto"/>
            <w:left w:val="none" w:sz="0" w:space="0" w:color="auto"/>
            <w:bottom w:val="none" w:sz="0" w:space="0" w:color="auto"/>
            <w:right w:val="none" w:sz="0" w:space="0" w:color="auto"/>
          </w:divBdr>
          <w:divsChild>
            <w:div w:id="1333410402">
              <w:marLeft w:val="0"/>
              <w:marRight w:val="0"/>
              <w:marTop w:val="0"/>
              <w:marBottom w:val="0"/>
              <w:divBdr>
                <w:top w:val="none" w:sz="0" w:space="0" w:color="auto"/>
                <w:left w:val="none" w:sz="0" w:space="0" w:color="auto"/>
                <w:bottom w:val="none" w:sz="0" w:space="0" w:color="auto"/>
                <w:right w:val="none" w:sz="0" w:space="0" w:color="auto"/>
              </w:divBdr>
            </w:div>
          </w:divsChild>
        </w:div>
        <w:div w:id="1572042971">
          <w:marLeft w:val="0"/>
          <w:marRight w:val="0"/>
          <w:marTop w:val="180"/>
          <w:marBottom w:val="0"/>
          <w:divBdr>
            <w:top w:val="none" w:sz="0" w:space="0" w:color="auto"/>
            <w:left w:val="none" w:sz="0" w:space="0" w:color="auto"/>
            <w:bottom w:val="none" w:sz="0" w:space="0" w:color="auto"/>
            <w:right w:val="none" w:sz="0" w:space="0" w:color="auto"/>
          </w:divBdr>
          <w:divsChild>
            <w:div w:id="299120429">
              <w:marLeft w:val="-180"/>
              <w:marRight w:val="-180"/>
              <w:marTop w:val="0"/>
              <w:marBottom w:val="0"/>
              <w:divBdr>
                <w:top w:val="none" w:sz="0" w:space="0" w:color="auto"/>
                <w:left w:val="none" w:sz="0" w:space="0" w:color="auto"/>
                <w:bottom w:val="none" w:sz="0" w:space="0" w:color="auto"/>
                <w:right w:val="none" w:sz="0" w:space="0" w:color="auto"/>
              </w:divBdr>
              <w:divsChild>
                <w:div w:id="1407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5715">
      <w:bodyDiv w:val="1"/>
      <w:marLeft w:val="0"/>
      <w:marRight w:val="0"/>
      <w:marTop w:val="0"/>
      <w:marBottom w:val="0"/>
      <w:divBdr>
        <w:top w:val="none" w:sz="0" w:space="0" w:color="auto"/>
        <w:left w:val="none" w:sz="0" w:space="0" w:color="auto"/>
        <w:bottom w:val="none" w:sz="0" w:space="0" w:color="auto"/>
        <w:right w:val="none" w:sz="0" w:space="0" w:color="auto"/>
      </w:divBdr>
      <w:divsChild>
        <w:div w:id="2016878472">
          <w:marLeft w:val="-180"/>
          <w:marRight w:val="-180"/>
          <w:marTop w:val="0"/>
          <w:marBottom w:val="0"/>
          <w:divBdr>
            <w:top w:val="none" w:sz="0" w:space="0" w:color="auto"/>
            <w:left w:val="none" w:sz="0" w:space="0" w:color="auto"/>
            <w:bottom w:val="none" w:sz="0" w:space="0" w:color="auto"/>
            <w:right w:val="none" w:sz="0" w:space="0" w:color="auto"/>
          </w:divBdr>
          <w:divsChild>
            <w:div w:id="352731951">
              <w:marLeft w:val="0"/>
              <w:marRight w:val="0"/>
              <w:marTop w:val="0"/>
              <w:marBottom w:val="0"/>
              <w:divBdr>
                <w:top w:val="none" w:sz="0" w:space="0" w:color="auto"/>
                <w:left w:val="none" w:sz="0" w:space="0" w:color="auto"/>
                <w:bottom w:val="none" w:sz="0" w:space="0" w:color="auto"/>
                <w:right w:val="none" w:sz="0" w:space="0" w:color="auto"/>
              </w:divBdr>
            </w:div>
          </w:divsChild>
        </w:div>
        <w:div w:id="1524440403">
          <w:marLeft w:val="0"/>
          <w:marRight w:val="0"/>
          <w:marTop w:val="180"/>
          <w:marBottom w:val="0"/>
          <w:divBdr>
            <w:top w:val="none" w:sz="0" w:space="0" w:color="auto"/>
            <w:left w:val="none" w:sz="0" w:space="0" w:color="auto"/>
            <w:bottom w:val="none" w:sz="0" w:space="0" w:color="auto"/>
            <w:right w:val="none" w:sz="0" w:space="0" w:color="auto"/>
          </w:divBdr>
          <w:divsChild>
            <w:div w:id="1153446547">
              <w:marLeft w:val="-180"/>
              <w:marRight w:val="-180"/>
              <w:marTop w:val="0"/>
              <w:marBottom w:val="0"/>
              <w:divBdr>
                <w:top w:val="none" w:sz="0" w:space="0" w:color="auto"/>
                <w:left w:val="none" w:sz="0" w:space="0" w:color="auto"/>
                <w:bottom w:val="none" w:sz="0" w:space="0" w:color="auto"/>
                <w:right w:val="none" w:sz="0" w:space="0" w:color="auto"/>
              </w:divBdr>
              <w:divsChild>
                <w:div w:id="11269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18714">
      <w:bodyDiv w:val="1"/>
      <w:marLeft w:val="0"/>
      <w:marRight w:val="0"/>
      <w:marTop w:val="0"/>
      <w:marBottom w:val="0"/>
      <w:divBdr>
        <w:top w:val="none" w:sz="0" w:space="0" w:color="auto"/>
        <w:left w:val="none" w:sz="0" w:space="0" w:color="auto"/>
        <w:bottom w:val="none" w:sz="0" w:space="0" w:color="auto"/>
        <w:right w:val="none" w:sz="0" w:space="0" w:color="auto"/>
      </w:divBdr>
      <w:divsChild>
        <w:div w:id="1101411887">
          <w:marLeft w:val="-180"/>
          <w:marRight w:val="-180"/>
          <w:marTop w:val="0"/>
          <w:marBottom w:val="0"/>
          <w:divBdr>
            <w:top w:val="none" w:sz="0" w:space="0" w:color="auto"/>
            <w:left w:val="none" w:sz="0" w:space="0" w:color="auto"/>
            <w:bottom w:val="none" w:sz="0" w:space="0" w:color="auto"/>
            <w:right w:val="none" w:sz="0" w:space="0" w:color="auto"/>
          </w:divBdr>
          <w:divsChild>
            <w:div w:id="736395128">
              <w:marLeft w:val="0"/>
              <w:marRight w:val="0"/>
              <w:marTop w:val="0"/>
              <w:marBottom w:val="0"/>
              <w:divBdr>
                <w:top w:val="none" w:sz="0" w:space="0" w:color="auto"/>
                <w:left w:val="none" w:sz="0" w:space="0" w:color="auto"/>
                <w:bottom w:val="none" w:sz="0" w:space="0" w:color="auto"/>
                <w:right w:val="none" w:sz="0" w:space="0" w:color="auto"/>
              </w:divBdr>
            </w:div>
          </w:divsChild>
        </w:div>
        <w:div w:id="213397288">
          <w:marLeft w:val="0"/>
          <w:marRight w:val="0"/>
          <w:marTop w:val="180"/>
          <w:marBottom w:val="0"/>
          <w:divBdr>
            <w:top w:val="none" w:sz="0" w:space="0" w:color="auto"/>
            <w:left w:val="none" w:sz="0" w:space="0" w:color="auto"/>
            <w:bottom w:val="none" w:sz="0" w:space="0" w:color="auto"/>
            <w:right w:val="none" w:sz="0" w:space="0" w:color="auto"/>
          </w:divBdr>
          <w:divsChild>
            <w:div w:id="1745563531">
              <w:marLeft w:val="-180"/>
              <w:marRight w:val="-180"/>
              <w:marTop w:val="0"/>
              <w:marBottom w:val="0"/>
              <w:divBdr>
                <w:top w:val="none" w:sz="0" w:space="0" w:color="auto"/>
                <w:left w:val="none" w:sz="0" w:space="0" w:color="auto"/>
                <w:bottom w:val="none" w:sz="0" w:space="0" w:color="auto"/>
                <w:right w:val="none" w:sz="0" w:space="0" w:color="auto"/>
              </w:divBdr>
              <w:divsChild>
                <w:div w:id="12759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128">
      <w:bodyDiv w:val="1"/>
      <w:marLeft w:val="0"/>
      <w:marRight w:val="0"/>
      <w:marTop w:val="0"/>
      <w:marBottom w:val="0"/>
      <w:divBdr>
        <w:top w:val="none" w:sz="0" w:space="0" w:color="auto"/>
        <w:left w:val="none" w:sz="0" w:space="0" w:color="auto"/>
        <w:bottom w:val="none" w:sz="0" w:space="0" w:color="auto"/>
        <w:right w:val="none" w:sz="0" w:space="0" w:color="auto"/>
      </w:divBdr>
      <w:divsChild>
        <w:div w:id="272565848">
          <w:marLeft w:val="-180"/>
          <w:marRight w:val="-180"/>
          <w:marTop w:val="0"/>
          <w:marBottom w:val="0"/>
          <w:divBdr>
            <w:top w:val="none" w:sz="0" w:space="0" w:color="auto"/>
            <w:left w:val="none" w:sz="0" w:space="0" w:color="auto"/>
            <w:bottom w:val="none" w:sz="0" w:space="0" w:color="auto"/>
            <w:right w:val="none" w:sz="0" w:space="0" w:color="auto"/>
          </w:divBdr>
          <w:divsChild>
            <w:div w:id="1425029798">
              <w:marLeft w:val="0"/>
              <w:marRight w:val="0"/>
              <w:marTop w:val="0"/>
              <w:marBottom w:val="0"/>
              <w:divBdr>
                <w:top w:val="none" w:sz="0" w:space="0" w:color="auto"/>
                <w:left w:val="none" w:sz="0" w:space="0" w:color="auto"/>
                <w:bottom w:val="none" w:sz="0" w:space="0" w:color="auto"/>
                <w:right w:val="none" w:sz="0" w:space="0" w:color="auto"/>
              </w:divBdr>
            </w:div>
          </w:divsChild>
        </w:div>
        <w:div w:id="1812363090">
          <w:marLeft w:val="0"/>
          <w:marRight w:val="0"/>
          <w:marTop w:val="180"/>
          <w:marBottom w:val="0"/>
          <w:divBdr>
            <w:top w:val="none" w:sz="0" w:space="0" w:color="auto"/>
            <w:left w:val="none" w:sz="0" w:space="0" w:color="auto"/>
            <w:bottom w:val="none" w:sz="0" w:space="0" w:color="auto"/>
            <w:right w:val="none" w:sz="0" w:space="0" w:color="auto"/>
          </w:divBdr>
          <w:divsChild>
            <w:div w:id="175845879">
              <w:marLeft w:val="-180"/>
              <w:marRight w:val="-180"/>
              <w:marTop w:val="0"/>
              <w:marBottom w:val="0"/>
              <w:divBdr>
                <w:top w:val="none" w:sz="0" w:space="0" w:color="auto"/>
                <w:left w:val="none" w:sz="0" w:space="0" w:color="auto"/>
                <w:bottom w:val="none" w:sz="0" w:space="0" w:color="auto"/>
                <w:right w:val="none" w:sz="0" w:space="0" w:color="auto"/>
              </w:divBdr>
              <w:divsChild>
                <w:div w:id="15274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08380">
      <w:bodyDiv w:val="1"/>
      <w:marLeft w:val="0"/>
      <w:marRight w:val="0"/>
      <w:marTop w:val="0"/>
      <w:marBottom w:val="0"/>
      <w:divBdr>
        <w:top w:val="none" w:sz="0" w:space="0" w:color="auto"/>
        <w:left w:val="none" w:sz="0" w:space="0" w:color="auto"/>
        <w:bottom w:val="none" w:sz="0" w:space="0" w:color="auto"/>
        <w:right w:val="none" w:sz="0" w:space="0" w:color="auto"/>
      </w:divBdr>
      <w:divsChild>
        <w:div w:id="1017195555">
          <w:marLeft w:val="-180"/>
          <w:marRight w:val="-180"/>
          <w:marTop w:val="0"/>
          <w:marBottom w:val="0"/>
          <w:divBdr>
            <w:top w:val="none" w:sz="0" w:space="0" w:color="auto"/>
            <w:left w:val="none" w:sz="0" w:space="0" w:color="auto"/>
            <w:bottom w:val="none" w:sz="0" w:space="0" w:color="auto"/>
            <w:right w:val="none" w:sz="0" w:space="0" w:color="auto"/>
          </w:divBdr>
          <w:divsChild>
            <w:div w:id="1177576787">
              <w:marLeft w:val="0"/>
              <w:marRight w:val="0"/>
              <w:marTop w:val="0"/>
              <w:marBottom w:val="0"/>
              <w:divBdr>
                <w:top w:val="none" w:sz="0" w:space="0" w:color="auto"/>
                <w:left w:val="none" w:sz="0" w:space="0" w:color="auto"/>
                <w:bottom w:val="none" w:sz="0" w:space="0" w:color="auto"/>
                <w:right w:val="none" w:sz="0" w:space="0" w:color="auto"/>
              </w:divBdr>
            </w:div>
          </w:divsChild>
        </w:div>
        <w:div w:id="276104494">
          <w:marLeft w:val="0"/>
          <w:marRight w:val="0"/>
          <w:marTop w:val="180"/>
          <w:marBottom w:val="0"/>
          <w:divBdr>
            <w:top w:val="none" w:sz="0" w:space="0" w:color="auto"/>
            <w:left w:val="none" w:sz="0" w:space="0" w:color="auto"/>
            <w:bottom w:val="none" w:sz="0" w:space="0" w:color="auto"/>
            <w:right w:val="none" w:sz="0" w:space="0" w:color="auto"/>
          </w:divBdr>
          <w:divsChild>
            <w:div w:id="1495687152">
              <w:marLeft w:val="-180"/>
              <w:marRight w:val="-180"/>
              <w:marTop w:val="0"/>
              <w:marBottom w:val="0"/>
              <w:divBdr>
                <w:top w:val="none" w:sz="0" w:space="0" w:color="auto"/>
                <w:left w:val="none" w:sz="0" w:space="0" w:color="auto"/>
                <w:bottom w:val="none" w:sz="0" w:space="0" w:color="auto"/>
                <w:right w:val="none" w:sz="0" w:space="0" w:color="auto"/>
              </w:divBdr>
              <w:divsChild>
                <w:div w:id="1170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920831">
      <w:bodyDiv w:val="1"/>
      <w:marLeft w:val="0"/>
      <w:marRight w:val="0"/>
      <w:marTop w:val="0"/>
      <w:marBottom w:val="0"/>
      <w:divBdr>
        <w:top w:val="none" w:sz="0" w:space="0" w:color="auto"/>
        <w:left w:val="none" w:sz="0" w:space="0" w:color="auto"/>
        <w:bottom w:val="none" w:sz="0" w:space="0" w:color="auto"/>
        <w:right w:val="none" w:sz="0" w:space="0" w:color="auto"/>
      </w:divBdr>
      <w:divsChild>
        <w:div w:id="2112819858">
          <w:marLeft w:val="-180"/>
          <w:marRight w:val="-180"/>
          <w:marTop w:val="0"/>
          <w:marBottom w:val="0"/>
          <w:divBdr>
            <w:top w:val="none" w:sz="0" w:space="0" w:color="auto"/>
            <w:left w:val="none" w:sz="0" w:space="0" w:color="auto"/>
            <w:bottom w:val="none" w:sz="0" w:space="0" w:color="auto"/>
            <w:right w:val="none" w:sz="0" w:space="0" w:color="auto"/>
          </w:divBdr>
          <w:divsChild>
            <w:div w:id="1391272011">
              <w:marLeft w:val="0"/>
              <w:marRight w:val="0"/>
              <w:marTop w:val="0"/>
              <w:marBottom w:val="0"/>
              <w:divBdr>
                <w:top w:val="none" w:sz="0" w:space="0" w:color="auto"/>
                <w:left w:val="none" w:sz="0" w:space="0" w:color="auto"/>
                <w:bottom w:val="none" w:sz="0" w:space="0" w:color="auto"/>
                <w:right w:val="none" w:sz="0" w:space="0" w:color="auto"/>
              </w:divBdr>
            </w:div>
          </w:divsChild>
        </w:div>
        <w:div w:id="31078405">
          <w:marLeft w:val="0"/>
          <w:marRight w:val="0"/>
          <w:marTop w:val="180"/>
          <w:marBottom w:val="0"/>
          <w:divBdr>
            <w:top w:val="none" w:sz="0" w:space="0" w:color="auto"/>
            <w:left w:val="none" w:sz="0" w:space="0" w:color="auto"/>
            <w:bottom w:val="none" w:sz="0" w:space="0" w:color="auto"/>
            <w:right w:val="none" w:sz="0" w:space="0" w:color="auto"/>
          </w:divBdr>
          <w:divsChild>
            <w:div w:id="1704088715">
              <w:marLeft w:val="-180"/>
              <w:marRight w:val="-180"/>
              <w:marTop w:val="0"/>
              <w:marBottom w:val="0"/>
              <w:divBdr>
                <w:top w:val="none" w:sz="0" w:space="0" w:color="auto"/>
                <w:left w:val="none" w:sz="0" w:space="0" w:color="auto"/>
                <w:bottom w:val="none" w:sz="0" w:space="0" w:color="auto"/>
                <w:right w:val="none" w:sz="0" w:space="0" w:color="auto"/>
              </w:divBdr>
              <w:divsChild>
                <w:div w:id="19123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06071">
      <w:bodyDiv w:val="1"/>
      <w:marLeft w:val="0"/>
      <w:marRight w:val="0"/>
      <w:marTop w:val="0"/>
      <w:marBottom w:val="0"/>
      <w:divBdr>
        <w:top w:val="none" w:sz="0" w:space="0" w:color="auto"/>
        <w:left w:val="none" w:sz="0" w:space="0" w:color="auto"/>
        <w:bottom w:val="none" w:sz="0" w:space="0" w:color="auto"/>
        <w:right w:val="none" w:sz="0" w:space="0" w:color="auto"/>
      </w:divBdr>
      <w:divsChild>
        <w:div w:id="1427382797">
          <w:marLeft w:val="-180"/>
          <w:marRight w:val="-180"/>
          <w:marTop w:val="0"/>
          <w:marBottom w:val="0"/>
          <w:divBdr>
            <w:top w:val="none" w:sz="0" w:space="0" w:color="auto"/>
            <w:left w:val="none" w:sz="0" w:space="0" w:color="auto"/>
            <w:bottom w:val="none" w:sz="0" w:space="0" w:color="auto"/>
            <w:right w:val="none" w:sz="0" w:space="0" w:color="auto"/>
          </w:divBdr>
          <w:divsChild>
            <w:div w:id="289089985">
              <w:marLeft w:val="0"/>
              <w:marRight w:val="0"/>
              <w:marTop w:val="0"/>
              <w:marBottom w:val="0"/>
              <w:divBdr>
                <w:top w:val="none" w:sz="0" w:space="0" w:color="auto"/>
                <w:left w:val="none" w:sz="0" w:space="0" w:color="auto"/>
                <w:bottom w:val="none" w:sz="0" w:space="0" w:color="auto"/>
                <w:right w:val="none" w:sz="0" w:space="0" w:color="auto"/>
              </w:divBdr>
            </w:div>
          </w:divsChild>
        </w:div>
        <w:div w:id="1295020709">
          <w:marLeft w:val="0"/>
          <w:marRight w:val="0"/>
          <w:marTop w:val="180"/>
          <w:marBottom w:val="0"/>
          <w:divBdr>
            <w:top w:val="none" w:sz="0" w:space="0" w:color="auto"/>
            <w:left w:val="none" w:sz="0" w:space="0" w:color="auto"/>
            <w:bottom w:val="none" w:sz="0" w:space="0" w:color="auto"/>
            <w:right w:val="none" w:sz="0" w:space="0" w:color="auto"/>
          </w:divBdr>
          <w:divsChild>
            <w:div w:id="883832140">
              <w:marLeft w:val="-180"/>
              <w:marRight w:val="-180"/>
              <w:marTop w:val="0"/>
              <w:marBottom w:val="0"/>
              <w:divBdr>
                <w:top w:val="none" w:sz="0" w:space="0" w:color="auto"/>
                <w:left w:val="none" w:sz="0" w:space="0" w:color="auto"/>
                <w:bottom w:val="none" w:sz="0" w:space="0" w:color="auto"/>
                <w:right w:val="none" w:sz="0" w:space="0" w:color="auto"/>
              </w:divBdr>
              <w:divsChild>
                <w:div w:id="18230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2641">
      <w:bodyDiv w:val="1"/>
      <w:marLeft w:val="0"/>
      <w:marRight w:val="0"/>
      <w:marTop w:val="0"/>
      <w:marBottom w:val="0"/>
      <w:divBdr>
        <w:top w:val="none" w:sz="0" w:space="0" w:color="auto"/>
        <w:left w:val="none" w:sz="0" w:space="0" w:color="auto"/>
        <w:bottom w:val="none" w:sz="0" w:space="0" w:color="auto"/>
        <w:right w:val="none" w:sz="0" w:space="0" w:color="auto"/>
      </w:divBdr>
      <w:divsChild>
        <w:div w:id="1780251458">
          <w:marLeft w:val="-180"/>
          <w:marRight w:val="-180"/>
          <w:marTop w:val="0"/>
          <w:marBottom w:val="0"/>
          <w:divBdr>
            <w:top w:val="none" w:sz="0" w:space="0" w:color="auto"/>
            <w:left w:val="none" w:sz="0" w:space="0" w:color="auto"/>
            <w:bottom w:val="none" w:sz="0" w:space="0" w:color="auto"/>
            <w:right w:val="none" w:sz="0" w:space="0" w:color="auto"/>
          </w:divBdr>
          <w:divsChild>
            <w:div w:id="589048898">
              <w:marLeft w:val="0"/>
              <w:marRight w:val="0"/>
              <w:marTop w:val="0"/>
              <w:marBottom w:val="0"/>
              <w:divBdr>
                <w:top w:val="none" w:sz="0" w:space="0" w:color="auto"/>
                <w:left w:val="none" w:sz="0" w:space="0" w:color="auto"/>
                <w:bottom w:val="none" w:sz="0" w:space="0" w:color="auto"/>
                <w:right w:val="none" w:sz="0" w:space="0" w:color="auto"/>
              </w:divBdr>
            </w:div>
          </w:divsChild>
        </w:div>
        <w:div w:id="205878369">
          <w:marLeft w:val="0"/>
          <w:marRight w:val="0"/>
          <w:marTop w:val="180"/>
          <w:marBottom w:val="0"/>
          <w:divBdr>
            <w:top w:val="none" w:sz="0" w:space="0" w:color="auto"/>
            <w:left w:val="none" w:sz="0" w:space="0" w:color="auto"/>
            <w:bottom w:val="none" w:sz="0" w:space="0" w:color="auto"/>
            <w:right w:val="none" w:sz="0" w:space="0" w:color="auto"/>
          </w:divBdr>
          <w:divsChild>
            <w:div w:id="284695414">
              <w:marLeft w:val="-180"/>
              <w:marRight w:val="-180"/>
              <w:marTop w:val="0"/>
              <w:marBottom w:val="0"/>
              <w:divBdr>
                <w:top w:val="none" w:sz="0" w:space="0" w:color="auto"/>
                <w:left w:val="none" w:sz="0" w:space="0" w:color="auto"/>
                <w:bottom w:val="none" w:sz="0" w:space="0" w:color="auto"/>
                <w:right w:val="none" w:sz="0" w:space="0" w:color="auto"/>
              </w:divBdr>
              <w:divsChild>
                <w:div w:id="799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18756">
      <w:bodyDiv w:val="1"/>
      <w:marLeft w:val="0"/>
      <w:marRight w:val="0"/>
      <w:marTop w:val="0"/>
      <w:marBottom w:val="0"/>
      <w:divBdr>
        <w:top w:val="none" w:sz="0" w:space="0" w:color="auto"/>
        <w:left w:val="none" w:sz="0" w:space="0" w:color="auto"/>
        <w:bottom w:val="none" w:sz="0" w:space="0" w:color="auto"/>
        <w:right w:val="none" w:sz="0" w:space="0" w:color="auto"/>
      </w:divBdr>
      <w:divsChild>
        <w:div w:id="254095655">
          <w:marLeft w:val="-180"/>
          <w:marRight w:val="-180"/>
          <w:marTop w:val="0"/>
          <w:marBottom w:val="0"/>
          <w:divBdr>
            <w:top w:val="none" w:sz="0" w:space="0" w:color="auto"/>
            <w:left w:val="none" w:sz="0" w:space="0" w:color="auto"/>
            <w:bottom w:val="none" w:sz="0" w:space="0" w:color="auto"/>
            <w:right w:val="none" w:sz="0" w:space="0" w:color="auto"/>
          </w:divBdr>
          <w:divsChild>
            <w:div w:id="669531104">
              <w:marLeft w:val="0"/>
              <w:marRight w:val="0"/>
              <w:marTop w:val="0"/>
              <w:marBottom w:val="0"/>
              <w:divBdr>
                <w:top w:val="none" w:sz="0" w:space="0" w:color="auto"/>
                <w:left w:val="none" w:sz="0" w:space="0" w:color="auto"/>
                <w:bottom w:val="none" w:sz="0" w:space="0" w:color="auto"/>
                <w:right w:val="none" w:sz="0" w:space="0" w:color="auto"/>
              </w:divBdr>
            </w:div>
          </w:divsChild>
        </w:div>
        <w:div w:id="2019306931">
          <w:marLeft w:val="0"/>
          <w:marRight w:val="0"/>
          <w:marTop w:val="180"/>
          <w:marBottom w:val="0"/>
          <w:divBdr>
            <w:top w:val="none" w:sz="0" w:space="0" w:color="auto"/>
            <w:left w:val="none" w:sz="0" w:space="0" w:color="auto"/>
            <w:bottom w:val="none" w:sz="0" w:space="0" w:color="auto"/>
            <w:right w:val="none" w:sz="0" w:space="0" w:color="auto"/>
          </w:divBdr>
          <w:divsChild>
            <w:div w:id="671294069">
              <w:marLeft w:val="-180"/>
              <w:marRight w:val="-180"/>
              <w:marTop w:val="0"/>
              <w:marBottom w:val="0"/>
              <w:divBdr>
                <w:top w:val="none" w:sz="0" w:space="0" w:color="auto"/>
                <w:left w:val="none" w:sz="0" w:space="0" w:color="auto"/>
                <w:bottom w:val="none" w:sz="0" w:space="0" w:color="auto"/>
                <w:right w:val="none" w:sz="0" w:space="0" w:color="auto"/>
              </w:divBdr>
              <w:divsChild>
                <w:div w:id="104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959481">
      <w:bodyDiv w:val="1"/>
      <w:marLeft w:val="0"/>
      <w:marRight w:val="0"/>
      <w:marTop w:val="0"/>
      <w:marBottom w:val="0"/>
      <w:divBdr>
        <w:top w:val="none" w:sz="0" w:space="0" w:color="auto"/>
        <w:left w:val="none" w:sz="0" w:space="0" w:color="auto"/>
        <w:bottom w:val="none" w:sz="0" w:space="0" w:color="auto"/>
        <w:right w:val="none" w:sz="0" w:space="0" w:color="auto"/>
      </w:divBdr>
      <w:divsChild>
        <w:div w:id="1348217598">
          <w:marLeft w:val="-180"/>
          <w:marRight w:val="-180"/>
          <w:marTop w:val="0"/>
          <w:marBottom w:val="0"/>
          <w:divBdr>
            <w:top w:val="none" w:sz="0" w:space="0" w:color="auto"/>
            <w:left w:val="none" w:sz="0" w:space="0" w:color="auto"/>
            <w:bottom w:val="none" w:sz="0" w:space="0" w:color="auto"/>
            <w:right w:val="none" w:sz="0" w:space="0" w:color="auto"/>
          </w:divBdr>
          <w:divsChild>
            <w:div w:id="1065569337">
              <w:marLeft w:val="0"/>
              <w:marRight w:val="0"/>
              <w:marTop w:val="0"/>
              <w:marBottom w:val="0"/>
              <w:divBdr>
                <w:top w:val="none" w:sz="0" w:space="0" w:color="auto"/>
                <w:left w:val="none" w:sz="0" w:space="0" w:color="auto"/>
                <w:bottom w:val="none" w:sz="0" w:space="0" w:color="auto"/>
                <w:right w:val="none" w:sz="0" w:space="0" w:color="auto"/>
              </w:divBdr>
            </w:div>
          </w:divsChild>
        </w:div>
        <w:div w:id="763918364">
          <w:marLeft w:val="0"/>
          <w:marRight w:val="0"/>
          <w:marTop w:val="180"/>
          <w:marBottom w:val="0"/>
          <w:divBdr>
            <w:top w:val="none" w:sz="0" w:space="0" w:color="auto"/>
            <w:left w:val="none" w:sz="0" w:space="0" w:color="auto"/>
            <w:bottom w:val="none" w:sz="0" w:space="0" w:color="auto"/>
            <w:right w:val="none" w:sz="0" w:space="0" w:color="auto"/>
          </w:divBdr>
          <w:divsChild>
            <w:div w:id="2141534226">
              <w:marLeft w:val="-180"/>
              <w:marRight w:val="-180"/>
              <w:marTop w:val="0"/>
              <w:marBottom w:val="0"/>
              <w:divBdr>
                <w:top w:val="none" w:sz="0" w:space="0" w:color="auto"/>
                <w:left w:val="none" w:sz="0" w:space="0" w:color="auto"/>
                <w:bottom w:val="none" w:sz="0" w:space="0" w:color="auto"/>
                <w:right w:val="none" w:sz="0" w:space="0" w:color="auto"/>
              </w:divBdr>
              <w:divsChild>
                <w:div w:id="20043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01920">
      <w:bodyDiv w:val="1"/>
      <w:marLeft w:val="0"/>
      <w:marRight w:val="0"/>
      <w:marTop w:val="0"/>
      <w:marBottom w:val="0"/>
      <w:divBdr>
        <w:top w:val="none" w:sz="0" w:space="0" w:color="auto"/>
        <w:left w:val="none" w:sz="0" w:space="0" w:color="auto"/>
        <w:bottom w:val="none" w:sz="0" w:space="0" w:color="auto"/>
        <w:right w:val="none" w:sz="0" w:space="0" w:color="auto"/>
      </w:divBdr>
      <w:divsChild>
        <w:div w:id="791829188">
          <w:marLeft w:val="-180"/>
          <w:marRight w:val="-180"/>
          <w:marTop w:val="0"/>
          <w:marBottom w:val="0"/>
          <w:divBdr>
            <w:top w:val="none" w:sz="0" w:space="0" w:color="auto"/>
            <w:left w:val="none" w:sz="0" w:space="0" w:color="auto"/>
            <w:bottom w:val="none" w:sz="0" w:space="0" w:color="auto"/>
            <w:right w:val="none" w:sz="0" w:space="0" w:color="auto"/>
          </w:divBdr>
          <w:divsChild>
            <w:div w:id="841311524">
              <w:marLeft w:val="0"/>
              <w:marRight w:val="0"/>
              <w:marTop w:val="0"/>
              <w:marBottom w:val="0"/>
              <w:divBdr>
                <w:top w:val="none" w:sz="0" w:space="0" w:color="auto"/>
                <w:left w:val="none" w:sz="0" w:space="0" w:color="auto"/>
                <w:bottom w:val="none" w:sz="0" w:space="0" w:color="auto"/>
                <w:right w:val="none" w:sz="0" w:space="0" w:color="auto"/>
              </w:divBdr>
            </w:div>
          </w:divsChild>
        </w:div>
        <w:div w:id="1342046518">
          <w:marLeft w:val="0"/>
          <w:marRight w:val="0"/>
          <w:marTop w:val="180"/>
          <w:marBottom w:val="0"/>
          <w:divBdr>
            <w:top w:val="none" w:sz="0" w:space="0" w:color="auto"/>
            <w:left w:val="none" w:sz="0" w:space="0" w:color="auto"/>
            <w:bottom w:val="none" w:sz="0" w:space="0" w:color="auto"/>
            <w:right w:val="none" w:sz="0" w:space="0" w:color="auto"/>
          </w:divBdr>
          <w:divsChild>
            <w:div w:id="980115585">
              <w:marLeft w:val="-180"/>
              <w:marRight w:val="-180"/>
              <w:marTop w:val="0"/>
              <w:marBottom w:val="0"/>
              <w:divBdr>
                <w:top w:val="none" w:sz="0" w:space="0" w:color="auto"/>
                <w:left w:val="none" w:sz="0" w:space="0" w:color="auto"/>
                <w:bottom w:val="none" w:sz="0" w:space="0" w:color="auto"/>
                <w:right w:val="none" w:sz="0" w:space="0" w:color="auto"/>
              </w:divBdr>
              <w:divsChild>
                <w:div w:id="830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6599">
      <w:bodyDiv w:val="1"/>
      <w:marLeft w:val="0"/>
      <w:marRight w:val="0"/>
      <w:marTop w:val="0"/>
      <w:marBottom w:val="0"/>
      <w:divBdr>
        <w:top w:val="none" w:sz="0" w:space="0" w:color="auto"/>
        <w:left w:val="none" w:sz="0" w:space="0" w:color="auto"/>
        <w:bottom w:val="none" w:sz="0" w:space="0" w:color="auto"/>
        <w:right w:val="none" w:sz="0" w:space="0" w:color="auto"/>
      </w:divBdr>
      <w:divsChild>
        <w:div w:id="420219956">
          <w:marLeft w:val="-180"/>
          <w:marRight w:val="-180"/>
          <w:marTop w:val="0"/>
          <w:marBottom w:val="0"/>
          <w:divBdr>
            <w:top w:val="none" w:sz="0" w:space="0" w:color="auto"/>
            <w:left w:val="none" w:sz="0" w:space="0" w:color="auto"/>
            <w:bottom w:val="none" w:sz="0" w:space="0" w:color="auto"/>
            <w:right w:val="none" w:sz="0" w:space="0" w:color="auto"/>
          </w:divBdr>
          <w:divsChild>
            <w:div w:id="169493179">
              <w:marLeft w:val="0"/>
              <w:marRight w:val="0"/>
              <w:marTop w:val="0"/>
              <w:marBottom w:val="0"/>
              <w:divBdr>
                <w:top w:val="none" w:sz="0" w:space="0" w:color="auto"/>
                <w:left w:val="none" w:sz="0" w:space="0" w:color="auto"/>
                <w:bottom w:val="none" w:sz="0" w:space="0" w:color="auto"/>
                <w:right w:val="none" w:sz="0" w:space="0" w:color="auto"/>
              </w:divBdr>
            </w:div>
          </w:divsChild>
        </w:div>
        <w:div w:id="1600407610">
          <w:marLeft w:val="0"/>
          <w:marRight w:val="0"/>
          <w:marTop w:val="180"/>
          <w:marBottom w:val="0"/>
          <w:divBdr>
            <w:top w:val="none" w:sz="0" w:space="0" w:color="auto"/>
            <w:left w:val="none" w:sz="0" w:space="0" w:color="auto"/>
            <w:bottom w:val="none" w:sz="0" w:space="0" w:color="auto"/>
            <w:right w:val="none" w:sz="0" w:space="0" w:color="auto"/>
          </w:divBdr>
          <w:divsChild>
            <w:div w:id="1601911087">
              <w:marLeft w:val="-180"/>
              <w:marRight w:val="-180"/>
              <w:marTop w:val="0"/>
              <w:marBottom w:val="0"/>
              <w:divBdr>
                <w:top w:val="none" w:sz="0" w:space="0" w:color="auto"/>
                <w:left w:val="none" w:sz="0" w:space="0" w:color="auto"/>
                <w:bottom w:val="none" w:sz="0" w:space="0" w:color="auto"/>
                <w:right w:val="none" w:sz="0" w:space="0" w:color="auto"/>
              </w:divBdr>
              <w:divsChild>
                <w:div w:id="94280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4075">
      <w:bodyDiv w:val="1"/>
      <w:marLeft w:val="0"/>
      <w:marRight w:val="0"/>
      <w:marTop w:val="0"/>
      <w:marBottom w:val="0"/>
      <w:divBdr>
        <w:top w:val="none" w:sz="0" w:space="0" w:color="auto"/>
        <w:left w:val="none" w:sz="0" w:space="0" w:color="auto"/>
        <w:bottom w:val="none" w:sz="0" w:space="0" w:color="auto"/>
        <w:right w:val="none" w:sz="0" w:space="0" w:color="auto"/>
      </w:divBdr>
      <w:divsChild>
        <w:div w:id="828717817">
          <w:marLeft w:val="-180"/>
          <w:marRight w:val="-180"/>
          <w:marTop w:val="0"/>
          <w:marBottom w:val="0"/>
          <w:divBdr>
            <w:top w:val="none" w:sz="0" w:space="0" w:color="auto"/>
            <w:left w:val="none" w:sz="0" w:space="0" w:color="auto"/>
            <w:bottom w:val="none" w:sz="0" w:space="0" w:color="auto"/>
            <w:right w:val="none" w:sz="0" w:space="0" w:color="auto"/>
          </w:divBdr>
          <w:divsChild>
            <w:div w:id="5988621">
              <w:marLeft w:val="0"/>
              <w:marRight w:val="0"/>
              <w:marTop w:val="0"/>
              <w:marBottom w:val="0"/>
              <w:divBdr>
                <w:top w:val="none" w:sz="0" w:space="0" w:color="auto"/>
                <w:left w:val="none" w:sz="0" w:space="0" w:color="auto"/>
                <w:bottom w:val="none" w:sz="0" w:space="0" w:color="auto"/>
                <w:right w:val="none" w:sz="0" w:space="0" w:color="auto"/>
              </w:divBdr>
              <w:divsChild>
                <w:div w:id="751512996">
                  <w:marLeft w:val="-180"/>
                  <w:marRight w:val="-180"/>
                  <w:marTop w:val="0"/>
                  <w:marBottom w:val="0"/>
                  <w:divBdr>
                    <w:top w:val="none" w:sz="0" w:space="0" w:color="auto"/>
                    <w:left w:val="none" w:sz="0" w:space="0" w:color="auto"/>
                    <w:bottom w:val="none" w:sz="0" w:space="0" w:color="auto"/>
                    <w:right w:val="none" w:sz="0" w:space="0" w:color="auto"/>
                  </w:divBdr>
                  <w:divsChild>
                    <w:div w:id="220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2544">
              <w:marLeft w:val="0"/>
              <w:marRight w:val="0"/>
              <w:marTop w:val="180"/>
              <w:marBottom w:val="0"/>
              <w:divBdr>
                <w:top w:val="none" w:sz="0" w:space="0" w:color="auto"/>
                <w:left w:val="none" w:sz="0" w:space="0" w:color="auto"/>
                <w:bottom w:val="none" w:sz="0" w:space="0" w:color="auto"/>
                <w:right w:val="none" w:sz="0" w:space="0" w:color="auto"/>
              </w:divBdr>
              <w:divsChild>
                <w:div w:id="1679506975">
                  <w:marLeft w:val="-180"/>
                  <w:marRight w:val="-180"/>
                  <w:marTop w:val="0"/>
                  <w:marBottom w:val="0"/>
                  <w:divBdr>
                    <w:top w:val="none" w:sz="0" w:space="0" w:color="auto"/>
                    <w:left w:val="none" w:sz="0" w:space="0" w:color="auto"/>
                    <w:bottom w:val="none" w:sz="0" w:space="0" w:color="auto"/>
                    <w:right w:val="none" w:sz="0" w:space="0" w:color="auto"/>
                  </w:divBdr>
                  <w:divsChild>
                    <w:div w:id="151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44439">
      <w:bodyDiv w:val="1"/>
      <w:marLeft w:val="0"/>
      <w:marRight w:val="0"/>
      <w:marTop w:val="0"/>
      <w:marBottom w:val="0"/>
      <w:divBdr>
        <w:top w:val="none" w:sz="0" w:space="0" w:color="auto"/>
        <w:left w:val="none" w:sz="0" w:space="0" w:color="auto"/>
        <w:bottom w:val="none" w:sz="0" w:space="0" w:color="auto"/>
        <w:right w:val="none" w:sz="0" w:space="0" w:color="auto"/>
      </w:divBdr>
      <w:divsChild>
        <w:div w:id="1879465924">
          <w:marLeft w:val="-180"/>
          <w:marRight w:val="-180"/>
          <w:marTop w:val="0"/>
          <w:marBottom w:val="0"/>
          <w:divBdr>
            <w:top w:val="none" w:sz="0" w:space="0" w:color="auto"/>
            <w:left w:val="none" w:sz="0" w:space="0" w:color="auto"/>
            <w:bottom w:val="none" w:sz="0" w:space="0" w:color="auto"/>
            <w:right w:val="none" w:sz="0" w:space="0" w:color="auto"/>
          </w:divBdr>
          <w:divsChild>
            <w:div w:id="428813571">
              <w:marLeft w:val="0"/>
              <w:marRight w:val="0"/>
              <w:marTop w:val="0"/>
              <w:marBottom w:val="0"/>
              <w:divBdr>
                <w:top w:val="none" w:sz="0" w:space="0" w:color="auto"/>
                <w:left w:val="none" w:sz="0" w:space="0" w:color="auto"/>
                <w:bottom w:val="none" w:sz="0" w:space="0" w:color="auto"/>
                <w:right w:val="none" w:sz="0" w:space="0" w:color="auto"/>
              </w:divBdr>
            </w:div>
          </w:divsChild>
        </w:div>
        <w:div w:id="1633250281">
          <w:marLeft w:val="0"/>
          <w:marRight w:val="0"/>
          <w:marTop w:val="180"/>
          <w:marBottom w:val="0"/>
          <w:divBdr>
            <w:top w:val="none" w:sz="0" w:space="0" w:color="auto"/>
            <w:left w:val="none" w:sz="0" w:space="0" w:color="auto"/>
            <w:bottom w:val="none" w:sz="0" w:space="0" w:color="auto"/>
            <w:right w:val="none" w:sz="0" w:space="0" w:color="auto"/>
          </w:divBdr>
          <w:divsChild>
            <w:div w:id="2067603160">
              <w:marLeft w:val="-180"/>
              <w:marRight w:val="-180"/>
              <w:marTop w:val="0"/>
              <w:marBottom w:val="0"/>
              <w:divBdr>
                <w:top w:val="none" w:sz="0" w:space="0" w:color="auto"/>
                <w:left w:val="none" w:sz="0" w:space="0" w:color="auto"/>
                <w:bottom w:val="none" w:sz="0" w:space="0" w:color="auto"/>
                <w:right w:val="none" w:sz="0" w:space="0" w:color="auto"/>
              </w:divBdr>
              <w:divsChild>
                <w:div w:id="102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6505</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Vanuza Pereira Valverde</cp:lastModifiedBy>
  <cp:revision>5</cp:revision>
  <dcterms:created xsi:type="dcterms:W3CDTF">2024-10-18T18:19:00Z</dcterms:created>
  <dcterms:modified xsi:type="dcterms:W3CDTF">2024-10-18T18:30:00Z</dcterms:modified>
</cp:coreProperties>
</file>