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9D08F8">
            <w:pPr>
              <w:spacing w:line="360" w:lineRule="auto"/>
              <w:jc w:val="center"/>
            </w:pPr>
            <w:r>
              <w:rPr>
                <w:rFonts w:cs="Times New Roman"/>
                <w:b/>
              </w:rPr>
              <w:t>Pregão Eletrônico 32</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E75CA2">
              <w:rPr>
                <w:rFonts w:cs="Times New Roman"/>
                <w:b/>
              </w:rPr>
              <w:t>14</w:t>
            </w:r>
            <w:r>
              <w:rPr>
                <w:rFonts w:cs="Times New Roman"/>
                <w:b/>
              </w:rPr>
              <w:t>/</w:t>
            </w:r>
            <w:r w:rsidR="00E75CA2">
              <w:rPr>
                <w:rFonts w:cs="Times New Roman"/>
                <w:b/>
              </w:rPr>
              <w:t>10</w:t>
            </w:r>
            <w:r>
              <w:rPr>
                <w:rFonts w:cs="Times New Roman"/>
                <w:b/>
              </w:rPr>
              <w:t xml:space="preserve">/2019 às </w:t>
            </w:r>
            <w:r w:rsidR="00BD6F26">
              <w:rPr>
                <w:rFonts w:cs="Times New Roman"/>
                <w:b/>
              </w:rPr>
              <w:t>14</w:t>
            </w:r>
            <w:r>
              <w:rPr>
                <w:rFonts w:cs="Times New Roman"/>
                <w:b/>
              </w:rPr>
              <w:t xml:space="preserve">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6D12F3">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materiais consistem em material </w:t>
            </w:r>
            <w:r w:rsidR="006D12F3">
              <w:rPr>
                <w:rFonts w:cs="Times New Roman"/>
                <w:bCs/>
                <w:lang w:eastAsia="hi-IN"/>
              </w:rPr>
              <w:t xml:space="preserve">de infraestrutura predial diversos e de acabamento, ferragens de fechaduras para as portas, itens específicos de infraestrutura predial e de acabamento, perfis para estrutura de forro modular, e portas de divisória naval com maçaneta tipo alavanca,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E16733" w:rsidRDefault="006639E1" w:rsidP="00E16733">
            <w:pPr>
              <w:spacing w:line="360" w:lineRule="auto"/>
              <w:jc w:val="both"/>
            </w:pPr>
            <w:r>
              <w:t xml:space="preserve">R$ </w:t>
            </w:r>
            <w:r w:rsidR="00E16733" w:rsidRPr="00E16733">
              <w:rPr>
                <w:rFonts w:cs="Times New Roman"/>
                <w:color w:val="000000"/>
              </w:rPr>
              <w:t>14.936,39</w:t>
            </w:r>
            <w:r w:rsidR="00E16733">
              <w:rPr>
                <w:rFonts w:cs="Times New Roman"/>
                <w:color w:val="000000"/>
              </w:rPr>
              <w:t xml:space="preserve"> </w:t>
            </w:r>
            <w:r w:rsidR="00E16733" w:rsidRPr="00E16733">
              <w:rPr>
                <w:rFonts w:cs="Times New Roman"/>
                <w:b/>
                <w:color w:val="000000"/>
              </w:rPr>
              <w:t>(catorze mil, novecentos e trinta e seis reais e trinta e nove 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2E56F5">
            <w:pPr>
              <w:spacing w:line="360" w:lineRule="auto"/>
              <w:jc w:val="center"/>
              <w:rPr>
                <w:rFonts w:cs="Times New Roman"/>
              </w:rPr>
            </w:pPr>
            <w:r>
              <w:rPr>
                <w:rFonts w:cs="Times New Roman"/>
              </w:rPr>
              <w:t>Opcional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Item</w:t>
            </w:r>
            <w:r w:rsidR="002E6186">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1E0EDC">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BD6F26">
              <w:rPr>
                <w:rFonts w:cs="Times New Roman"/>
                <w:bCs/>
              </w:rPr>
              <w:t xml:space="preserve"> 21/10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BD6F26">
              <w:rPr>
                <w:rFonts w:cs="Times New Roman"/>
                <w:bCs/>
              </w:rPr>
              <w:t>22</w:t>
            </w:r>
            <w:r>
              <w:rPr>
                <w:rFonts w:cs="Times New Roman"/>
                <w:bCs/>
              </w:rPr>
              <w:t>/</w:t>
            </w:r>
            <w:r w:rsidR="00BD6F26">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505FAB" w:rsidRDefault="00505FAB" w:rsidP="00BF561D">
      <w:pPr>
        <w:spacing w:line="360" w:lineRule="auto"/>
        <w:rPr>
          <w:b/>
          <w:u w:val="single"/>
        </w:rPr>
      </w:pPr>
    </w:p>
    <w:p w:rsidR="009D08F8" w:rsidRDefault="009D08F8" w:rsidP="00BF561D">
      <w:pPr>
        <w:spacing w:line="360" w:lineRule="auto"/>
        <w:rPr>
          <w:b/>
          <w:u w:val="single"/>
        </w:rPr>
      </w:pPr>
    </w:p>
    <w:p w:rsidR="00505FAB" w:rsidRDefault="009D08F8">
      <w:pPr>
        <w:spacing w:line="360" w:lineRule="auto"/>
        <w:jc w:val="center"/>
        <w:rPr>
          <w:b/>
          <w:u w:val="single"/>
        </w:rPr>
      </w:pPr>
      <w:r>
        <w:rPr>
          <w:b/>
          <w:u w:val="single"/>
        </w:rPr>
        <w:t xml:space="preserve"> EDITAL DE LICITAÇÃO Nº 32</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w:t>
        </w:r>
        <w:r w:rsidR="002E6186">
          <w:rPr>
            <w:rStyle w:val="Hyperlink"/>
            <w:rFonts w:cs="Times New Roman"/>
            <w:b/>
            <w:color w:val="000000"/>
          </w:rPr>
          <w:t>2</w:t>
        </w:r>
        <w:r w:rsidR="006902CB" w:rsidRPr="006902CB">
          <w:rPr>
            <w:rStyle w:val="Hyperlink"/>
            <w:rFonts w:cs="Times New Roman"/>
            <w:b/>
            <w:color w:val="000000"/>
          </w:rPr>
          <w:t>0.000</w:t>
        </w:r>
        <w:r w:rsidR="002E6186">
          <w:rPr>
            <w:rStyle w:val="Hyperlink"/>
            <w:rFonts w:cs="Times New Roman"/>
            <w:b/>
            <w:color w:val="000000"/>
          </w:rPr>
          <w:t>8459</w:t>
        </w:r>
        <w:r w:rsidR="006902CB" w:rsidRPr="006902CB">
          <w:rPr>
            <w:rStyle w:val="Hyperlink"/>
            <w:rFonts w:cs="Times New Roman"/>
            <w:b/>
            <w:color w:val="000000"/>
          </w:rPr>
          <w:t>/2019-</w:t>
        </w:r>
        <w:r w:rsidR="002E6186">
          <w:rPr>
            <w:rStyle w:val="Hyperlink"/>
            <w:rFonts w:cs="Times New Roman"/>
            <w:b/>
            <w:color w:val="000000"/>
          </w:rPr>
          <w:t>2</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 xml:space="preserve">DATA: </w:t>
      </w:r>
      <w:r w:rsidR="00BD6F26">
        <w:rPr>
          <w:b/>
        </w:rPr>
        <w:t>25</w:t>
      </w:r>
      <w:r>
        <w:rPr>
          <w:b/>
        </w:rPr>
        <w:t>/</w:t>
      </w:r>
      <w:r w:rsidR="00BD6F26">
        <w:rPr>
          <w:b/>
        </w:rPr>
        <w:t>10</w:t>
      </w:r>
      <w:r>
        <w:rPr>
          <w:b/>
        </w:rPr>
        <w:t>/2019</w:t>
      </w:r>
    </w:p>
    <w:p w:rsidR="00505FAB" w:rsidRDefault="00C54368">
      <w:pPr>
        <w:spacing w:line="360" w:lineRule="auto"/>
        <w:jc w:val="both"/>
        <w:rPr>
          <w:b/>
        </w:rPr>
      </w:pPr>
      <w:r>
        <w:rPr>
          <w:b/>
        </w:rPr>
        <w:t xml:space="preserve">HORÁRIO: </w:t>
      </w:r>
      <w:r w:rsidR="00BD6F26">
        <w:rPr>
          <w:b/>
        </w:rPr>
        <w:t>14</w:t>
      </w:r>
      <w:r>
        <w:rPr>
          <w:b/>
        </w:rPr>
        <w:t xml:space="preserve">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no dia</w:t>
      </w:r>
      <w:r w:rsidR="00BD6F26">
        <w:rPr>
          <w:rFonts w:eastAsia="CourierNewPSMT" w:cs="CourierNewPSMT"/>
          <w:b/>
          <w:bCs/>
        </w:rPr>
        <w:t xml:space="preserve"> 25</w:t>
      </w:r>
      <w:r w:rsidR="00085C65">
        <w:rPr>
          <w:rFonts w:eastAsia="CourierNewPSMT" w:cs="CourierNewPSMT"/>
          <w:b/>
          <w:bCs/>
        </w:rPr>
        <w:t xml:space="preserve"> </w:t>
      </w:r>
      <w:r w:rsidR="00BD6F26">
        <w:rPr>
          <w:rFonts w:eastAsia="CourierNewPSMT" w:cs="CourierNewPSMT"/>
          <w:b/>
          <w:bCs/>
        </w:rPr>
        <w:t>d</w:t>
      </w:r>
      <w:r w:rsidR="00085C65">
        <w:rPr>
          <w:rFonts w:eastAsia="CourierNewPSMT" w:cs="CourierNewPSMT"/>
          <w:b/>
          <w:bCs/>
        </w:rPr>
        <w:t xml:space="preserve">e </w:t>
      </w:r>
      <w:r w:rsidR="00BD6F26">
        <w:rPr>
          <w:rFonts w:eastAsia="CourierNewPSMT" w:cs="CourierNewPSMT"/>
          <w:b/>
          <w:bCs/>
        </w:rPr>
        <w:t xml:space="preserve">outubro </w:t>
      </w:r>
      <w:r>
        <w:rPr>
          <w:rFonts w:eastAsia="CourierNewPSMT" w:cs="CourierNewPSMT"/>
          <w:b/>
          <w:bCs/>
        </w:rPr>
        <w:t xml:space="preserve">de 2019, </w:t>
      </w:r>
      <w:r w:rsidR="00085C65">
        <w:rPr>
          <w:rFonts w:eastAsia="CourierNewPSMT" w:cs="CourierNewPSMT"/>
          <w:b/>
          <w:bCs/>
        </w:rPr>
        <w:t>às</w:t>
      </w:r>
      <w:r w:rsidR="00BD6F26">
        <w:rPr>
          <w:rFonts w:eastAsia="CourierNewPSMT" w:cs="CourierNewPSMT"/>
          <w:b/>
          <w:bCs/>
        </w:rPr>
        <w:t xml:space="preserve">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Pr>
          <w:b/>
          <w:bCs/>
        </w:rPr>
        <w:t xml:space="preserve">, </w:t>
      </w:r>
      <w:r>
        <w:rPr>
          <w:b/>
          <w:bCs/>
          <w:color w:val="000000"/>
        </w:rPr>
        <w:t xml:space="preserve"> </w:t>
      </w:r>
      <w:r>
        <w:rPr>
          <w:b/>
          <w:bCs/>
        </w:rPr>
        <w:t xml:space="preserve">na modalidade de Pregão Eletrônico, empreitada por preço unitário, </w:t>
      </w:r>
      <w:r w:rsidR="001E0EDC">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w:t>
      </w:r>
      <w:r>
        <w:lastRenderedPageBreak/>
        <w:t xml:space="preserve">Complementar nº 123 de 14/12/2006, </w:t>
      </w:r>
      <w:r>
        <w:rPr>
          <w:rFonts w:eastAsia="CourierNewPSMT" w:cs="CourierNewPSMT"/>
        </w:rPr>
        <w:t xml:space="preserve">no que couber, </w:t>
      </w:r>
      <w:r>
        <w:t>com as devidas alterações, e demais normas 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6D12F3" w:rsidRPr="006D12F3">
        <w:rPr>
          <w:rFonts w:cs="Times New Roman"/>
          <w:bCs/>
          <w:lang w:eastAsia="hi-IN"/>
        </w:rPr>
        <w:t xml:space="preserve"> </w:t>
      </w:r>
      <w:r w:rsidR="006D12F3">
        <w:rPr>
          <w:rFonts w:cs="Times New Roman"/>
          <w:bCs/>
          <w:lang w:eastAsia="hi-IN"/>
        </w:rPr>
        <w:t>a</w:t>
      </w:r>
      <w:r w:rsidR="006D12F3" w:rsidRPr="006902CB">
        <w:rPr>
          <w:rFonts w:cs="Times New Roman"/>
          <w:bCs/>
          <w:lang w:eastAsia="hi-IN"/>
        </w:rPr>
        <w:t xml:space="preserve">quisição de materiais necessários à manutenção e conservação predial preventiva e corretiva do edifício-sede do Conselho Nacional do Ministério Público. Os materiais consistem em material </w:t>
      </w:r>
      <w:r w:rsidR="006D12F3">
        <w:rPr>
          <w:rFonts w:cs="Times New Roman"/>
          <w:bCs/>
          <w:lang w:eastAsia="hi-IN"/>
        </w:rPr>
        <w:t xml:space="preserve">de infraestrutura predial diversos e de acabamento, ferragens de fechaduras para as portas, itens específicos de infraestrutura predial e de acabamento, perfis para estrutura de forro modular, e portas de divisória naval com maçaneta tipo alavanca, </w:t>
      </w:r>
      <w:r w:rsidR="006D12F3" w:rsidRPr="006902CB">
        <w:rPr>
          <w:rFonts w:cs="Times New Roman"/>
          <w:bCs/>
          <w:lang w:eastAsia="hi-IN"/>
        </w:rPr>
        <w:t>para a realização das atividades da área de e</w:t>
      </w:r>
      <w:r w:rsidR="006D12F3">
        <w:rPr>
          <w:rFonts w:cs="Times New Roman"/>
          <w:bCs/>
          <w:lang w:eastAsia="hi-IN"/>
        </w:rPr>
        <w:t>ngenharia e arquitetura do CNMP</w:t>
      </w:r>
      <w:r w:rsidR="000F3C9A">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tab/>
      </w:r>
      <w:r>
        <w:tab/>
      </w:r>
    </w:p>
    <w:p w:rsidR="00505FAB" w:rsidRDefault="00C54368">
      <w:pPr>
        <w:spacing w:line="360" w:lineRule="auto"/>
        <w:ind w:firstLine="1417"/>
        <w:jc w:val="both"/>
      </w:pPr>
      <w:r>
        <w:rPr>
          <w:rFonts w:cs="Trebuchet MS"/>
        </w:rPr>
        <w:tab/>
      </w:r>
      <w:r>
        <w:rPr>
          <w:rFonts w:cs="Trebuchet MS"/>
          <w:b/>
          <w:bCs/>
        </w:rPr>
        <w:t>3.1</w:t>
      </w:r>
      <w:r w:rsidR="00262508" w:rsidRPr="00262508">
        <w:rPr>
          <w:rFonts w:cs="Trebuchet MS"/>
          <w:b/>
          <w:bCs/>
        </w:rPr>
        <w:t xml:space="preserve"> </w:t>
      </w:r>
      <w:r w:rsidR="00262508">
        <w:rPr>
          <w:rFonts w:cs="Trebuchet MS"/>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Pr>
          <w:rFonts w:cs="Trebuchet MS"/>
          <w:b/>
          <w:bCs/>
        </w:rPr>
        <w:tab/>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 xml:space="preserve">3.4. O licitante será responsável pela veracidade e legitimidade das informações e </w:t>
      </w:r>
      <w:r>
        <w:rPr>
          <w:szCs w:val="24"/>
        </w:rPr>
        <w:lastRenderedPageBreak/>
        <w:t>dos documentos apresentados em qualquer fase do procedimento licitatório e da consequente 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lastRenderedPageBreak/>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lastRenderedPageBreak/>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 xml:space="preserve">5.9 Serão desclassificadas as propostas que não atendam às exigências do presente </w:t>
      </w:r>
      <w:r>
        <w:lastRenderedPageBreak/>
        <w:t>Edital e seus anexos, que sejam omissas ou que apresentem irregularidades insanáveis.</w:t>
      </w:r>
    </w:p>
    <w:p w:rsidR="00505FAB" w:rsidRDefault="00C54368">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9D08F8">
        <w:rPr>
          <w:color w:val="000000"/>
        </w:rPr>
        <w:t>blica do Pregão Eletrônico nº 32</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r w:rsidR="00BD6F26">
        <w:rPr>
          <w:rFonts w:eastAsia="Arial" w:cs="Arial"/>
          <w:b/>
          <w:bCs/>
        </w:rPr>
        <w:t>22</w:t>
      </w:r>
      <w:r w:rsidR="00786B4C">
        <w:rPr>
          <w:rFonts w:eastAsia="Arial" w:cs="Arial"/>
          <w:b/>
          <w:bCs/>
        </w:rPr>
        <w:t>/</w:t>
      </w:r>
      <w:r w:rsidR="00BD6F26">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lastRenderedPageBreak/>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 xml:space="preserve">até o dia </w:t>
      </w:r>
      <w:r w:rsidR="00BD6F26">
        <w:rPr>
          <w:rStyle w:val="LinkdaInternet"/>
          <w:rFonts w:eastAsia="Arial" w:cs="Arial"/>
          <w:b/>
          <w:bCs/>
          <w:color w:val="auto"/>
          <w:u w:val="none"/>
        </w:rPr>
        <w:t>21</w:t>
      </w:r>
      <w:r w:rsidR="00786B4C">
        <w:rPr>
          <w:rStyle w:val="LinkdaInternet"/>
          <w:rFonts w:eastAsia="Arial" w:cs="Arial"/>
          <w:b/>
          <w:bCs/>
          <w:color w:val="auto"/>
          <w:u w:val="none"/>
        </w:rPr>
        <w:t>/</w:t>
      </w:r>
      <w:r w:rsidR="00BD6F26">
        <w:rPr>
          <w:rStyle w:val="LinkdaInternet"/>
          <w:rFonts w:eastAsia="Arial" w:cs="Arial"/>
          <w:b/>
          <w:bCs/>
          <w:color w:val="auto"/>
          <w:u w:val="none"/>
        </w:rPr>
        <w:t>10</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w:t>
      </w:r>
      <w:r>
        <w:lastRenderedPageBreak/>
        <w:t xml:space="preserve">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E24378" w:rsidRDefault="00C54368" w:rsidP="00B2676B">
      <w:pPr>
        <w:spacing w:line="360" w:lineRule="auto"/>
        <w:ind w:firstLine="1417"/>
        <w:jc w:val="both"/>
      </w:pPr>
      <w:r>
        <w:rPr>
          <w:b/>
          <w:bCs/>
        </w:rPr>
        <w:t xml:space="preserve"> 9.4 </w:t>
      </w:r>
      <w:r>
        <w:rPr>
          <w:rFonts w:cs="Trebuchet MS"/>
          <w:b/>
          <w:bCs/>
        </w:rPr>
        <w:t>Os limites máximos aceitáveis para a contratação serão conforme a tabela abaixo:</w:t>
      </w:r>
    </w:p>
    <w:p w:rsidR="00E24378" w:rsidRDefault="00E24378"/>
    <w:p w:rsidR="00E24378" w:rsidRDefault="00E24378"/>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6"/>
        <w:gridCol w:w="3532"/>
        <w:gridCol w:w="1425"/>
        <w:gridCol w:w="986"/>
        <w:gridCol w:w="1546"/>
        <w:gridCol w:w="1506"/>
      </w:tblGrid>
      <w:tr w:rsidR="00E24378" w:rsidRPr="0045073A" w:rsidTr="00A60FCC">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E24378" w:rsidRPr="0045073A" w:rsidRDefault="00E24378" w:rsidP="0095716A">
            <w:pPr>
              <w:pStyle w:val="LO-Normal1"/>
              <w:widowControl/>
              <w:spacing w:line="276" w:lineRule="auto"/>
              <w:jc w:val="center"/>
              <w:textAlignment w:val="auto"/>
              <w:rPr>
                <w:rFonts w:ascii="Times New Roman" w:hAnsi="Times New Roman" w:cs="Times New Roman"/>
              </w:rPr>
            </w:pPr>
          </w:p>
          <w:p w:rsidR="00E24378" w:rsidRPr="0045073A" w:rsidRDefault="000A14C4" w:rsidP="0095716A">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00E24378" w:rsidRPr="0045073A">
              <w:rPr>
                <w:rFonts w:ascii="Times New Roman" w:eastAsia="Times New Roman" w:hAnsi="Times New Roman" w:cs="Times New Roman"/>
                <w:b/>
                <w:bCs/>
                <w:lang w:eastAsia="pt-BR" w:bidi="ar-SA"/>
              </w:rPr>
              <w:t xml:space="preserve"> - Material de infraestrutura predial diversos e de acabamento</w:t>
            </w:r>
          </w:p>
          <w:p w:rsidR="00E24378" w:rsidRPr="0045073A" w:rsidRDefault="00E24378" w:rsidP="0095716A">
            <w:pPr>
              <w:pStyle w:val="LO-Normal1"/>
              <w:widowControl/>
              <w:spacing w:line="276" w:lineRule="auto"/>
              <w:jc w:val="center"/>
              <w:textAlignment w:val="auto"/>
              <w:rPr>
                <w:rFonts w:ascii="Times New Roman" w:hAnsi="Times New Roman" w:cs="Times New Roman"/>
              </w:rPr>
            </w:pPr>
          </w:p>
        </w:tc>
      </w:tr>
      <w:tr w:rsidR="00E24378" w:rsidRPr="0045073A" w:rsidTr="00A60FCC">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E24378" w:rsidRPr="0045073A" w:rsidRDefault="00E24378" w:rsidP="00E2437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E24378" w:rsidRPr="0045073A" w:rsidRDefault="00E24378" w:rsidP="00E2437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E24378" w:rsidRPr="0045073A" w:rsidRDefault="00E24378" w:rsidP="00E2437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E24378" w:rsidRPr="0045073A" w:rsidRDefault="00E24378" w:rsidP="00E2437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4378" w:rsidRPr="0045073A" w:rsidRDefault="00E24378" w:rsidP="00E2437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4378" w:rsidRPr="0045073A" w:rsidRDefault="00E24378" w:rsidP="00E2437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Mão francesa em metal 40 cm reforçada cor branca com parafusos de fixação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R$ 47,90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R$ 958,00</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Chumbador mecânico expansivo </w:t>
            </w:r>
            <w:proofErr w:type="spellStart"/>
            <w:r w:rsidRPr="0045073A">
              <w:rPr>
                <w:rFonts w:eastAsia="Times New Roman" w:cs="Times New Roman"/>
                <w:color w:val="000000"/>
                <w:lang w:eastAsia="pt-BR" w:bidi="ar-SA"/>
              </w:rPr>
              <w:t>Parabolt</w:t>
            </w:r>
            <w:proofErr w:type="spellEnd"/>
            <w:r w:rsidRPr="0045073A">
              <w:rPr>
                <w:rFonts w:eastAsia="Times New Roman" w:cs="Times New Roman"/>
                <w:color w:val="000000"/>
                <w:lang w:eastAsia="pt-BR" w:bidi="ar-SA"/>
              </w:rPr>
              <w:t xml:space="preserve"> com jaqueta 6 mm x 50mm completo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R$ 1,64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R$ 82,00</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Chumbador mecânico expansivo </w:t>
            </w:r>
            <w:proofErr w:type="spellStart"/>
            <w:r w:rsidRPr="0045073A">
              <w:rPr>
                <w:rFonts w:eastAsia="Times New Roman" w:cs="Times New Roman"/>
                <w:color w:val="000000"/>
                <w:lang w:eastAsia="pt-BR" w:bidi="ar-SA"/>
              </w:rPr>
              <w:t>Parabolt</w:t>
            </w:r>
            <w:proofErr w:type="spellEnd"/>
            <w:r w:rsidRPr="0045073A">
              <w:rPr>
                <w:rFonts w:eastAsia="Times New Roman" w:cs="Times New Roman"/>
                <w:color w:val="000000"/>
                <w:lang w:eastAsia="pt-BR" w:bidi="ar-SA"/>
              </w:rPr>
              <w:t xml:space="preserve"> com jaqueta 8mm </w:t>
            </w:r>
            <w:proofErr w:type="gramStart"/>
            <w:r w:rsidRPr="0045073A">
              <w:rPr>
                <w:rFonts w:eastAsia="Times New Roman" w:cs="Times New Roman"/>
                <w:color w:val="000000"/>
                <w:lang w:eastAsia="pt-BR" w:bidi="ar-SA"/>
              </w:rPr>
              <w:t>x  50</w:t>
            </w:r>
            <w:proofErr w:type="gramEnd"/>
            <w:r w:rsidRPr="0045073A">
              <w:rPr>
                <w:rFonts w:eastAsia="Times New Roman" w:cs="Times New Roman"/>
                <w:color w:val="000000"/>
                <w:lang w:eastAsia="pt-BR" w:bidi="ar-SA"/>
              </w:rPr>
              <w:t>mm completo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R$ 2,10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R$ 105,00</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Abraçadeira de nylon para amarração nas medidas 100x2,5mm, Tensão mínima de ruptura de 8kgf na cor preta Mod. Referência: </w:t>
            </w:r>
            <w:proofErr w:type="spellStart"/>
            <w:r w:rsidRPr="0045073A">
              <w:rPr>
                <w:rFonts w:eastAsia="Times New Roman" w:cs="Times New Roman"/>
                <w:color w:val="000000"/>
                <w:lang w:eastAsia="pt-BR" w:bidi="ar-SA"/>
              </w:rPr>
              <w:t>Hellermann</w:t>
            </w:r>
            <w:proofErr w:type="spellEnd"/>
            <w:r w:rsidRPr="0045073A">
              <w:rPr>
                <w:rFonts w:eastAsia="Times New Roman" w:cs="Times New Roman"/>
                <w:color w:val="000000"/>
                <w:lang w:eastAsia="pt-BR" w:bidi="ar-SA"/>
              </w:rPr>
              <w:t xml:space="preserve"> T18. Pacote com 100 unidades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p>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R$ 6,59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p>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R$ 32,95</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Abraçadeira de nylon para amarração nas medidas 240x2,8mm, Tensão mínima de ruptura de 11kgf na cor preta Mod. Referência: </w:t>
            </w:r>
            <w:proofErr w:type="spellStart"/>
            <w:r w:rsidRPr="0045073A">
              <w:rPr>
                <w:rFonts w:eastAsia="Times New Roman" w:cs="Times New Roman"/>
                <w:color w:val="000000"/>
                <w:lang w:eastAsia="pt-BR" w:bidi="ar-SA"/>
              </w:rPr>
              <w:t>Hellermann</w:t>
            </w:r>
            <w:proofErr w:type="spellEnd"/>
            <w:r w:rsidRPr="0045073A">
              <w:rPr>
                <w:rFonts w:eastAsia="Times New Roman" w:cs="Times New Roman"/>
                <w:color w:val="000000"/>
                <w:lang w:eastAsia="pt-BR" w:bidi="ar-SA"/>
              </w:rPr>
              <w:t xml:space="preserve"> T25. Pacote com 100 unidades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p>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R$ 19,41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C35A38" w:rsidP="00C35A38">
            <w:pPr>
              <w:pStyle w:val="LO-Normal1"/>
              <w:widowControl/>
              <w:spacing w:line="276" w:lineRule="auto"/>
              <w:jc w:val="center"/>
              <w:textAlignment w:val="auto"/>
              <w:rPr>
                <w:rFonts w:ascii="Times New Roman" w:hAnsi="Times New Roman" w:cs="Times New Roman"/>
              </w:rPr>
            </w:pPr>
          </w:p>
          <w:p w:rsidR="00C35A38" w:rsidRPr="0045073A" w:rsidRDefault="00C35A38"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R$ 97,05</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Abraçadeira de nylon para amarração nas medidas 390x8,9mm, Tensão mínima de ruptura de 68kgf na cor preta Mod. Referência: </w:t>
            </w:r>
            <w:proofErr w:type="spellStart"/>
            <w:r w:rsidRPr="0045073A">
              <w:rPr>
                <w:rFonts w:eastAsia="Times New Roman" w:cs="Times New Roman"/>
                <w:color w:val="000000"/>
                <w:lang w:eastAsia="pt-BR" w:bidi="ar-SA"/>
              </w:rPr>
              <w:t>Hellermann</w:t>
            </w:r>
            <w:proofErr w:type="spellEnd"/>
            <w:r w:rsidRPr="0045073A">
              <w:rPr>
                <w:rFonts w:eastAsia="Times New Roman" w:cs="Times New Roman"/>
                <w:color w:val="000000"/>
                <w:lang w:eastAsia="pt-BR" w:bidi="ar-SA"/>
              </w:rPr>
              <w:t xml:space="preserve"> T150. Pacote com 100 unidades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1661" w:rsidRPr="0045073A" w:rsidRDefault="00091661" w:rsidP="00091661">
            <w:pPr>
              <w:pStyle w:val="LO-Normal1"/>
              <w:widowControl/>
              <w:spacing w:line="276" w:lineRule="auto"/>
              <w:jc w:val="center"/>
              <w:textAlignment w:val="auto"/>
              <w:rPr>
                <w:rFonts w:ascii="Times New Roman" w:hAnsi="Times New Roman" w:cs="Times New Roman"/>
              </w:rPr>
            </w:pPr>
          </w:p>
          <w:p w:rsidR="00C35A38" w:rsidRPr="0045073A" w:rsidRDefault="00C35A38" w:rsidP="00091661">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R$ 74,58 </w:t>
            </w:r>
          </w:p>
        </w:tc>
        <w:tc>
          <w:tcPr>
            <w:tcW w:w="1524" w:type="dxa"/>
            <w:tcBorders>
              <w:top w:val="single" w:sz="4" w:space="0" w:color="000000"/>
              <w:left w:val="single" w:sz="4" w:space="0" w:color="000000"/>
              <w:bottom w:val="single" w:sz="4" w:space="0" w:color="000000"/>
              <w:right w:val="single" w:sz="4" w:space="0" w:color="000000"/>
            </w:tcBorders>
          </w:tcPr>
          <w:p w:rsidR="00091661" w:rsidRPr="0045073A" w:rsidRDefault="00091661" w:rsidP="00C35A38">
            <w:pPr>
              <w:pStyle w:val="LO-Normal1"/>
              <w:widowControl/>
              <w:spacing w:line="276" w:lineRule="auto"/>
              <w:jc w:val="center"/>
              <w:textAlignment w:val="auto"/>
              <w:rPr>
                <w:rFonts w:ascii="Times New Roman" w:hAnsi="Times New Roman" w:cs="Times New Roman"/>
              </w:rPr>
            </w:pPr>
          </w:p>
          <w:p w:rsidR="00C35A38" w:rsidRPr="0045073A" w:rsidRDefault="00091661"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R$ 372,90</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Parafuso Philips Cabeça Panela S-6 e bucha plástica com aba S-6, pacote com 100 unidades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091661">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R$ 32,00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091661"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R$ 96,00</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Parafuso Philips Cabeça Panela S-8 e bucha plástica com aba S-8, pacote com 100 unidades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091661">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R$ 40,50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091661"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R$ 81,00</w:t>
            </w:r>
          </w:p>
        </w:tc>
      </w:tr>
      <w:tr w:rsidR="00C35A38"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1F29EF" w:rsidP="00C35A3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Parafuso Philips Cabeça Panela S-10 e bucha plástica com aba S-10, pacote com 100 unidades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35A38" w:rsidRPr="0045073A" w:rsidRDefault="00C35A38" w:rsidP="00C35A38">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35A38" w:rsidRPr="0045073A" w:rsidRDefault="00C35A38" w:rsidP="00091661">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R$ 62,50 </w:t>
            </w:r>
          </w:p>
        </w:tc>
        <w:tc>
          <w:tcPr>
            <w:tcW w:w="1524" w:type="dxa"/>
            <w:tcBorders>
              <w:top w:val="single" w:sz="4" w:space="0" w:color="000000"/>
              <w:left w:val="single" w:sz="4" w:space="0" w:color="000000"/>
              <w:bottom w:val="single" w:sz="4" w:space="0" w:color="000000"/>
              <w:right w:val="single" w:sz="4" w:space="0" w:color="000000"/>
            </w:tcBorders>
          </w:tcPr>
          <w:p w:rsidR="00C35A38" w:rsidRPr="0045073A" w:rsidRDefault="00091661"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R$ 62,50</w:t>
            </w:r>
          </w:p>
        </w:tc>
      </w:tr>
      <w:tr w:rsidR="00A60FCC" w:rsidRPr="0045073A" w:rsidTr="0045073A">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CC" w:rsidRPr="0045073A" w:rsidRDefault="00A60FCC" w:rsidP="00A60FCC">
            <w:pPr>
              <w:widowControl/>
              <w:suppressAutoHyphens w:val="0"/>
              <w:textAlignment w:val="auto"/>
              <w:rPr>
                <w:rFonts w:cs="Times New Roman"/>
              </w:rPr>
            </w:pPr>
          </w:p>
          <w:p w:rsidR="00A60FCC" w:rsidRPr="0045073A" w:rsidRDefault="000A14C4" w:rsidP="00A60FCC">
            <w:pPr>
              <w:widowControl/>
              <w:suppressAutoHyphens w:val="0"/>
              <w:textAlignment w:val="auto"/>
              <w:rPr>
                <w:rFonts w:cs="Times New Roman"/>
              </w:rPr>
            </w:pPr>
            <w:r>
              <w:rPr>
                <w:rFonts w:cs="Times New Roman"/>
              </w:rPr>
              <w:t>VALOR TOTAL LOTE 1</w:t>
            </w:r>
          </w:p>
          <w:p w:rsidR="00A60FCC" w:rsidRPr="0045073A" w:rsidRDefault="00A60FCC" w:rsidP="00A60FCC">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A60FCC" w:rsidRPr="0045073A" w:rsidRDefault="00A60FCC" w:rsidP="00C35A38">
            <w:pPr>
              <w:pStyle w:val="LO-Normal1"/>
              <w:widowControl/>
              <w:spacing w:line="276" w:lineRule="auto"/>
              <w:jc w:val="center"/>
              <w:textAlignment w:val="auto"/>
              <w:rPr>
                <w:rFonts w:ascii="Times New Roman" w:hAnsi="Times New Roman" w:cs="Times New Roman"/>
              </w:rPr>
            </w:pPr>
          </w:p>
          <w:p w:rsidR="00A60FCC" w:rsidRPr="0045073A" w:rsidRDefault="00A60FCC" w:rsidP="00C35A3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R$ 1.887,40</w:t>
            </w:r>
          </w:p>
        </w:tc>
      </w:tr>
    </w:tbl>
    <w:p w:rsidR="00C35A38" w:rsidRPr="0045073A" w:rsidRDefault="00C35A38">
      <w:pPr>
        <w:rPr>
          <w:rFonts w:cs="Times New Roman"/>
        </w:rPr>
      </w:pPr>
    </w:p>
    <w:p w:rsidR="00C35A38" w:rsidRPr="0045073A" w:rsidRDefault="00C35A38">
      <w:pPr>
        <w:rPr>
          <w:rFonts w:cs="Times New Roman"/>
        </w:rPr>
      </w:pPr>
    </w:p>
    <w:p w:rsidR="00C35A38" w:rsidRPr="0045073A" w:rsidRDefault="00C35A38">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6"/>
        <w:gridCol w:w="3537"/>
        <w:gridCol w:w="1425"/>
        <w:gridCol w:w="984"/>
        <w:gridCol w:w="1542"/>
        <w:gridCol w:w="1507"/>
      </w:tblGrid>
      <w:tr w:rsidR="00C35A38" w:rsidRPr="0045073A" w:rsidTr="00A60FCC">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35A38" w:rsidRPr="0045073A" w:rsidRDefault="00C35A38" w:rsidP="00C35A38">
            <w:pPr>
              <w:pStyle w:val="LO-Normal1"/>
              <w:widowControl/>
              <w:spacing w:line="276" w:lineRule="auto"/>
              <w:jc w:val="center"/>
              <w:textAlignment w:val="auto"/>
              <w:rPr>
                <w:rFonts w:ascii="Times New Roman" w:hAnsi="Times New Roman" w:cs="Times New Roman"/>
              </w:rPr>
            </w:pPr>
          </w:p>
          <w:p w:rsidR="00C35A38" w:rsidRPr="0045073A" w:rsidRDefault="000A14C4" w:rsidP="00C35A38">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00C35A38" w:rsidRPr="0045073A">
              <w:rPr>
                <w:rFonts w:ascii="Times New Roman" w:eastAsia="Times New Roman" w:hAnsi="Times New Roman" w:cs="Times New Roman"/>
                <w:b/>
                <w:bCs/>
                <w:lang w:eastAsia="pt-BR" w:bidi="ar-SA"/>
              </w:rPr>
              <w:t xml:space="preserve"> - Ferragens e fechaduras para portas</w:t>
            </w:r>
          </w:p>
          <w:p w:rsidR="00C35A38" w:rsidRPr="0045073A" w:rsidRDefault="00C35A38" w:rsidP="00C35A38">
            <w:pPr>
              <w:pStyle w:val="LO-Normal1"/>
              <w:widowControl/>
              <w:spacing w:line="276" w:lineRule="auto"/>
              <w:jc w:val="center"/>
              <w:textAlignment w:val="auto"/>
              <w:rPr>
                <w:rFonts w:ascii="Times New Roman" w:hAnsi="Times New Roman" w:cs="Times New Roman"/>
              </w:rPr>
            </w:pPr>
          </w:p>
        </w:tc>
      </w:tr>
      <w:tr w:rsidR="00C35A38" w:rsidRPr="0045073A" w:rsidTr="00A60FCC">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35A38" w:rsidRPr="0045073A" w:rsidRDefault="00C35A38" w:rsidP="00C35A3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35A38" w:rsidRPr="0045073A" w:rsidRDefault="00C35A38" w:rsidP="00C35A3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35A38" w:rsidRPr="0045073A" w:rsidRDefault="00C35A38" w:rsidP="00C35A3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35A38" w:rsidRPr="0045073A" w:rsidRDefault="00C35A38" w:rsidP="00C35A3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5A38" w:rsidRPr="0045073A" w:rsidRDefault="00C35A38" w:rsidP="00C35A3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5A38" w:rsidRPr="0045073A" w:rsidRDefault="00C35A38" w:rsidP="00C35A38">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1362BA"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F29EF" w:rsidP="001362B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362BA" w:rsidP="001362B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de fechadura de porta externa 1300, com entrada, roseta, falsa contra testa e contra testa em aço inox, composta por cilindro e maçaneta em ZAMAC, com distância broca de 40mm, em acabamento cromado, com chave. Referência: IMAB DUNA Cj8769E13CR00k.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362BA" w:rsidP="001362B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362BA" w:rsidP="001362B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R$ 119,99 </w:t>
            </w:r>
          </w:p>
        </w:tc>
        <w:tc>
          <w:tcPr>
            <w:tcW w:w="1524" w:type="dxa"/>
            <w:tcBorders>
              <w:top w:val="single" w:sz="4" w:space="0" w:color="000000"/>
              <w:left w:val="single" w:sz="4" w:space="0" w:color="000000"/>
              <w:bottom w:val="single" w:sz="4" w:space="0" w:color="000000"/>
              <w:right w:val="single" w:sz="4" w:space="0" w:color="000000"/>
            </w:tcBorders>
          </w:tcPr>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R$ 1.799,85</w:t>
            </w:r>
          </w:p>
        </w:tc>
      </w:tr>
      <w:tr w:rsidR="001362BA"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F29EF" w:rsidP="001362B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362BA" w:rsidP="001362B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de fechadura de porta de banheiro 1300, com roseta, falsa contra testa e contra testa em aço inox, composta por maçaneta em ZAMAC, com distância broca de 40mm, em acabamento cromado. Referência: IMAB DUNA Cj8769E13CR00.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362BA" w:rsidP="001362B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362BA" w:rsidRPr="0045073A" w:rsidRDefault="001362BA" w:rsidP="001362B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R$ 52,19 </w:t>
            </w:r>
          </w:p>
        </w:tc>
        <w:tc>
          <w:tcPr>
            <w:tcW w:w="1524" w:type="dxa"/>
            <w:tcBorders>
              <w:top w:val="single" w:sz="4" w:space="0" w:color="000000"/>
              <w:left w:val="single" w:sz="4" w:space="0" w:color="000000"/>
              <w:bottom w:val="single" w:sz="4" w:space="0" w:color="000000"/>
              <w:right w:val="single" w:sz="4" w:space="0" w:color="000000"/>
            </w:tcBorders>
          </w:tcPr>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p>
          <w:p w:rsidR="001362BA" w:rsidRPr="0045073A" w:rsidRDefault="001362BA" w:rsidP="001362BA">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R$ 1.461,32</w:t>
            </w:r>
          </w:p>
        </w:tc>
      </w:tr>
      <w:tr w:rsidR="00A60FCC" w:rsidRPr="0045073A" w:rsidTr="0045073A">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60FCC" w:rsidRPr="0045073A" w:rsidRDefault="00A60FCC" w:rsidP="00A60FCC">
            <w:pPr>
              <w:widowControl/>
              <w:suppressAutoHyphens w:val="0"/>
              <w:textAlignment w:val="auto"/>
              <w:rPr>
                <w:rFonts w:cs="Times New Roman"/>
              </w:rPr>
            </w:pPr>
          </w:p>
          <w:p w:rsidR="00A60FCC" w:rsidRPr="0045073A" w:rsidRDefault="000A14C4" w:rsidP="00A60FCC">
            <w:pPr>
              <w:widowControl/>
              <w:suppressAutoHyphens w:val="0"/>
              <w:textAlignment w:val="auto"/>
              <w:rPr>
                <w:rFonts w:cs="Times New Roman"/>
              </w:rPr>
            </w:pPr>
            <w:r>
              <w:rPr>
                <w:rFonts w:cs="Times New Roman"/>
              </w:rPr>
              <w:t>VALOR TOTAL LOTE 02</w:t>
            </w:r>
          </w:p>
          <w:p w:rsidR="00A60FCC" w:rsidRPr="0045073A" w:rsidRDefault="00A60FCC" w:rsidP="00A60FCC">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A60FCC" w:rsidRPr="0045073A" w:rsidRDefault="00A60FCC" w:rsidP="001362BA">
            <w:pPr>
              <w:pStyle w:val="LO-Normal1"/>
              <w:widowControl/>
              <w:spacing w:line="276" w:lineRule="auto"/>
              <w:jc w:val="center"/>
              <w:textAlignment w:val="auto"/>
              <w:rPr>
                <w:rFonts w:ascii="Times New Roman" w:hAnsi="Times New Roman" w:cs="Times New Roman"/>
              </w:rPr>
            </w:pPr>
          </w:p>
          <w:p w:rsidR="00A60FCC" w:rsidRPr="0045073A" w:rsidRDefault="00A60FCC" w:rsidP="001362BA">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R$ 3.261,17</w:t>
            </w:r>
          </w:p>
        </w:tc>
      </w:tr>
    </w:tbl>
    <w:p w:rsidR="00DD27F0" w:rsidRPr="0045073A" w:rsidRDefault="00DD27F0">
      <w:pPr>
        <w:rPr>
          <w:rFonts w:cs="Times New Roman"/>
        </w:rPr>
      </w:pPr>
    </w:p>
    <w:p w:rsidR="00A60FCC" w:rsidRPr="0045073A" w:rsidRDefault="00A60FCC">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8"/>
        <w:gridCol w:w="1425"/>
        <w:gridCol w:w="983"/>
        <w:gridCol w:w="1541"/>
        <w:gridCol w:w="1507"/>
      </w:tblGrid>
      <w:tr w:rsidR="001F6E65" w:rsidRPr="0045073A" w:rsidTr="00A60FCC">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F6E65" w:rsidRPr="0045073A" w:rsidRDefault="001F6E65" w:rsidP="00C35A38">
            <w:pPr>
              <w:pStyle w:val="LO-Normal1"/>
              <w:widowControl/>
              <w:spacing w:line="276" w:lineRule="auto"/>
              <w:jc w:val="center"/>
              <w:textAlignment w:val="auto"/>
              <w:rPr>
                <w:rFonts w:ascii="Times New Roman" w:hAnsi="Times New Roman" w:cs="Times New Roman"/>
              </w:rPr>
            </w:pPr>
          </w:p>
          <w:p w:rsidR="001F6E65" w:rsidRPr="0045073A" w:rsidRDefault="001F6E65" w:rsidP="00C35A38">
            <w:pPr>
              <w:pStyle w:val="LO-Normal1"/>
              <w:widowControl/>
              <w:spacing w:line="276" w:lineRule="auto"/>
              <w:jc w:val="center"/>
              <w:textAlignment w:val="auto"/>
              <w:rPr>
                <w:rFonts w:ascii="Times New Roman" w:hAnsi="Times New Roman" w:cs="Times New Roman"/>
              </w:rPr>
            </w:pPr>
            <w:r w:rsidRPr="0045073A">
              <w:rPr>
                <w:rFonts w:ascii="Times New Roman" w:eastAsia="Times New Roman" w:hAnsi="Times New Roman" w:cs="Times New Roman"/>
                <w:b/>
                <w:bCs/>
                <w:lang w:eastAsia="pt-BR" w:bidi="ar-SA"/>
              </w:rPr>
              <w:t>ITENS Específicos de infraestrutura predial e acabamento</w:t>
            </w:r>
          </w:p>
          <w:p w:rsidR="001F6E65" w:rsidRPr="0045073A" w:rsidRDefault="001F6E65" w:rsidP="00C35A38">
            <w:pPr>
              <w:pStyle w:val="LO-Normal1"/>
              <w:widowControl/>
              <w:spacing w:line="276" w:lineRule="auto"/>
              <w:jc w:val="center"/>
              <w:textAlignment w:val="auto"/>
              <w:rPr>
                <w:rFonts w:ascii="Times New Roman" w:hAnsi="Times New Roman" w:cs="Times New Roman"/>
              </w:rPr>
            </w:pPr>
          </w:p>
        </w:tc>
      </w:tr>
      <w:tr w:rsidR="001E6803" w:rsidRPr="0045073A" w:rsidTr="00A60FCC">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Dobradiça com mola (dispositivo de fechamento automático) para porta corta fogo, conforme padrão adotado na edificação, atendendo as especificações da ABNT NBR 11.742:2003 e dos requisitos da ABNT NBR 13768:1997; confeccionadas em aço-carbono do tipo ABNT 1010/1020; dimensão de 100 mm (4") ao longo do eixo; fornecida completa, incluindo abas, eixo, cabeças, mola, carretéis, dispositivo de regulagem da mola (pinos de regulagem).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R$ 48,28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R$ 1.931,20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Mola para porta com duas válvulas independentes, com controle de velocidade independente do ângulo de 180º a 20º e outro para fechamento final de 20º a 0º, permitindo a instalação em portas à esquerda ou à direita. Tempo de fechamento variável. Referência </w:t>
            </w:r>
            <w:proofErr w:type="spellStart"/>
            <w:r w:rsidRPr="0045073A">
              <w:rPr>
                <w:rFonts w:eastAsia="Times New Roman" w:cs="Times New Roman"/>
                <w:color w:val="000000"/>
                <w:lang w:eastAsia="pt-BR" w:bidi="ar-SA"/>
              </w:rPr>
              <w:t>Dorma</w:t>
            </w:r>
            <w:proofErr w:type="spellEnd"/>
            <w:r w:rsidRPr="0045073A">
              <w:rPr>
                <w:rFonts w:eastAsia="Times New Roman" w:cs="Times New Roman"/>
                <w:color w:val="000000"/>
                <w:lang w:eastAsia="pt-BR" w:bidi="ar-SA"/>
              </w:rPr>
              <w:t xml:space="preserve"> MA200/2, Soprano 302 ou </w:t>
            </w:r>
            <w:proofErr w:type="spellStart"/>
            <w:r w:rsidRPr="0045073A">
              <w:rPr>
                <w:rFonts w:eastAsia="Times New Roman" w:cs="Times New Roman"/>
                <w:color w:val="000000"/>
                <w:lang w:eastAsia="pt-BR" w:bidi="ar-SA"/>
              </w:rPr>
              <w:t>Hafele</w:t>
            </w:r>
            <w:proofErr w:type="spellEnd"/>
            <w:r w:rsidRPr="0045073A">
              <w:rPr>
                <w:rFonts w:eastAsia="Times New Roman" w:cs="Times New Roman"/>
                <w:color w:val="000000"/>
                <w:lang w:eastAsia="pt-BR" w:bidi="ar-SA"/>
              </w:rPr>
              <w:t xml:space="preserve"> DCL11 P-2</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R$ 234,47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R$ 2.344,70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Fechadura de sobrepor para porta corta-fogo, com chave pelo lado externo com abertura para dentro do recinto. Referência: Fabricante Metalúrgica JVS, modelo 004Dg – Conforme padrão da porta corta-fogo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R$ 177,67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R$ 177,67</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Fechadura de sobrepor para porta corta-fogo, com maçanetas livres. Referência: Fabricante Metalúrgica JVS, modelo 003 – Conforme padrão da porta corta-fogo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R$ 220,60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R$ 882,40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Lavatório em cerâmica suspenso: Lavatório de canto suspenso redondo com mesa, com acabamento esmaltado branco. Deve acompanhar kit de fixação para a instalação. Dimensões: 49,5x49,5cmx17cm (</w:t>
            </w:r>
            <w:proofErr w:type="spellStart"/>
            <w:r w:rsidRPr="0045073A">
              <w:rPr>
                <w:rFonts w:eastAsia="Times New Roman" w:cs="Times New Roman"/>
                <w:color w:val="000000"/>
                <w:lang w:eastAsia="pt-BR" w:bidi="ar-SA"/>
              </w:rPr>
              <w:t>LxPxA</w:t>
            </w:r>
            <w:proofErr w:type="spellEnd"/>
            <w:r w:rsidRPr="0045073A">
              <w:rPr>
                <w:rFonts w:eastAsia="Times New Roman" w:cs="Times New Roman"/>
                <w:color w:val="000000"/>
                <w:lang w:eastAsia="pt-BR" w:bidi="ar-SA"/>
              </w:rPr>
              <w:t>).  1.1.4.2 Modelo de Referência: Lavatório suspenso de canto com mesa Deca L76.17, conforme projeto arquitetônico elaborado para o espaço de amamentação do CNMP</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R$ 712,90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R$ 712,90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Tarjetas </w:t>
            </w:r>
            <w:proofErr w:type="spellStart"/>
            <w:r w:rsidRPr="0045073A">
              <w:rPr>
                <w:rFonts w:eastAsia="Times New Roman" w:cs="Times New Roman"/>
                <w:color w:val="000000"/>
                <w:lang w:eastAsia="pt-BR" w:bidi="ar-SA"/>
              </w:rPr>
              <w:t>Lockwell</w:t>
            </w:r>
            <w:proofErr w:type="spellEnd"/>
            <w:r w:rsidRPr="0045073A">
              <w:rPr>
                <w:rFonts w:eastAsia="Times New Roman" w:cs="Times New Roman"/>
                <w:color w:val="000000"/>
                <w:lang w:eastAsia="pt-BR" w:bidi="ar-SA"/>
              </w:rPr>
              <w:t xml:space="preserve"> livre/ocupado para portas com espessura de 10 a 15 mm, linha 700, cromado, para manter o padrão de furação já existente nas portas das divisórias dos banheiros do edifício.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R$ 58,15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R$ 581,50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Trena métrica profissional de 7,5 metros. Caixa com botão de trava rápida para maior controle da medição e retrocesso da fita. Ponta magnética para fixação no zero. Fita de aço revestida de nylon resistente à abrasão. </w:t>
            </w:r>
            <w:proofErr w:type="spellStart"/>
            <w:r w:rsidRPr="0045073A">
              <w:rPr>
                <w:rFonts w:eastAsia="Times New Roman" w:cs="Times New Roman"/>
                <w:color w:val="000000"/>
                <w:lang w:eastAsia="pt-BR" w:bidi="ar-SA"/>
              </w:rPr>
              <w:t>Gradução</w:t>
            </w:r>
            <w:proofErr w:type="spellEnd"/>
            <w:r w:rsidRPr="0045073A">
              <w:rPr>
                <w:rFonts w:eastAsia="Times New Roman" w:cs="Times New Roman"/>
                <w:color w:val="000000"/>
                <w:lang w:eastAsia="pt-BR" w:bidi="ar-SA"/>
              </w:rPr>
              <w:t xml:space="preserve"> no mínimo em mm e cm. Modelo de Referência: Tramontina Master Profissional - 7,5 metros - </w:t>
            </w:r>
            <w:proofErr w:type="spellStart"/>
            <w:r w:rsidRPr="0045073A">
              <w:rPr>
                <w:rFonts w:eastAsia="Times New Roman" w:cs="Times New Roman"/>
                <w:color w:val="000000"/>
                <w:lang w:eastAsia="pt-BR" w:bidi="ar-SA"/>
              </w:rPr>
              <w:t>mod</w:t>
            </w:r>
            <w:proofErr w:type="spellEnd"/>
            <w:r w:rsidRPr="0045073A">
              <w:rPr>
                <w:rFonts w:eastAsia="Times New Roman" w:cs="Times New Roman"/>
                <w:color w:val="000000"/>
                <w:lang w:eastAsia="pt-BR" w:bidi="ar-SA"/>
              </w:rPr>
              <w:t xml:space="preserve"> 43158/375, ou equivalente técnico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R$ 19,99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R$ 119,94</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Mangueira de Combate de a Incêndio TIPO 2 - 1.1/2" x 15m. </w:t>
            </w:r>
            <w:proofErr w:type="spellStart"/>
            <w:r w:rsidRPr="0045073A">
              <w:rPr>
                <w:rFonts w:eastAsia="Times New Roman" w:cs="Times New Roman"/>
                <w:color w:val="000000"/>
                <w:lang w:eastAsia="pt-BR" w:bidi="ar-SA"/>
              </w:rPr>
              <w:t>Ref</w:t>
            </w:r>
            <w:proofErr w:type="spellEnd"/>
            <w:r w:rsidRPr="0045073A">
              <w:rPr>
                <w:rFonts w:eastAsia="Times New Roman" w:cs="Times New Roman"/>
                <w:color w:val="000000"/>
                <w:lang w:eastAsia="pt-BR" w:bidi="ar-SA"/>
              </w:rPr>
              <w:t xml:space="preserve"> marca </w:t>
            </w:r>
            <w:proofErr w:type="spellStart"/>
            <w:r w:rsidRPr="0045073A">
              <w:rPr>
                <w:rFonts w:eastAsia="Times New Roman" w:cs="Times New Roman"/>
                <w:color w:val="000000"/>
                <w:lang w:eastAsia="pt-BR" w:bidi="ar-SA"/>
              </w:rPr>
              <w:t>Kidde</w:t>
            </w:r>
            <w:proofErr w:type="spellEnd"/>
            <w:r w:rsidRPr="0045073A">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EA2E32">
            <w:pPr>
              <w:jc w:val="center"/>
              <w:rPr>
                <w:rFonts w:eastAsia="Times New Roman" w:cs="Times New Roman"/>
                <w:color w:val="000000"/>
                <w:lang w:eastAsia="pt-BR" w:bidi="ar-SA"/>
              </w:rPr>
            </w:pPr>
            <w:r w:rsidRPr="0045073A">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R$ 271,25 </w:t>
            </w:r>
          </w:p>
        </w:tc>
        <w:tc>
          <w:tcPr>
            <w:tcW w:w="1524" w:type="dxa"/>
            <w:tcBorders>
              <w:top w:val="single" w:sz="4" w:space="0" w:color="000000"/>
              <w:left w:val="single" w:sz="4" w:space="0" w:color="000000"/>
              <w:bottom w:val="single" w:sz="4" w:space="0" w:color="000000"/>
              <w:right w:val="single" w:sz="4" w:space="0" w:color="000000"/>
            </w:tcBorders>
          </w:tcPr>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R$ 271,25</w:t>
            </w:r>
          </w:p>
        </w:tc>
      </w:tr>
    </w:tbl>
    <w:p w:rsidR="00DD27F0" w:rsidRPr="0045073A" w:rsidRDefault="00DD27F0">
      <w:pPr>
        <w:rPr>
          <w:rFonts w:cs="Times New Roman"/>
        </w:rPr>
      </w:pPr>
    </w:p>
    <w:p w:rsidR="00B24AF0" w:rsidRPr="0045073A" w:rsidRDefault="00B24AF0">
      <w:pPr>
        <w:rPr>
          <w:rFonts w:cs="Times New Roman"/>
        </w:rPr>
      </w:pPr>
    </w:p>
    <w:p w:rsidR="00B24AF0" w:rsidRPr="0045073A" w:rsidRDefault="00B24AF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7"/>
        <w:gridCol w:w="1425"/>
        <w:gridCol w:w="985"/>
        <w:gridCol w:w="1544"/>
        <w:gridCol w:w="1503"/>
      </w:tblGrid>
      <w:tr w:rsidR="001F6E65" w:rsidRPr="0045073A" w:rsidTr="007430D1">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F6E65" w:rsidRPr="0045073A" w:rsidRDefault="001F6E65" w:rsidP="00C35A38">
            <w:pPr>
              <w:pStyle w:val="LO-Normal1"/>
              <w:widowControl/>
              <w:spacing w:line="276" w:lineRule="auto"/>
              <w:jc w:val="center"/>
              <w:textAlignment w:val="auto"/>
              <w:rPr>
                <w:rFonts w:ascii="Times New Roman" w:eastAsia="Times New Roman" w:hAnsi="Times New Roman" w:cs="Times New Roman"/>
                <w:b/>
                <w:bCs/>
                <w:lang w:eastAsia="pt-BR" w:bidi="ar-SA"/>
              </w:rPr>
            </w:pPr>
          </w:p>
          <w:p w:rsidR="001F6E65" w:rsidRPr="0045073A" w:rsidRDefault="000A14C4" w:rsidP="00C35A38">
            <w:pPr>
              <w:pStyle w:val="LO-Normal1"/>
              <w:widowControl/>
              <w:spacing w:line="276" w:lineRule="auto"/>
              <w:jc w:val="center"/>
              <w:textAlignment w:val="auto"/>
              <w:rPr>
                <w:rFonts w:ascii="Times New Roman" w:eastAsia="Times New Roman" w:hAnsi="Times New Roman" w:cs="Times New Roman"/>
                <w:b/>
                <w:bCs/>
                <w:lang w:eastAsia="pt-BR" w:bidi="ar-SA"/>
              </w:rPr>
            </w:pPr>
            <w:r>
              <w:rPr>
                <w:rFonts w:ascii="Times New Roman" w:eastAsia="Times New Roman" w:hAnsi="Times New Roman" w:cs="Times New Roman"/>
                <w:b/>
                <w:bCs/>
                <w:lang w:eastAsia="pt-BR" w:bidi="ar-SA"/>
              </w:rPr>
              <w:t>LOTE 03</w:t>
            </w:r>
            <w:r w:rsidR="001F6E65" w:rsidRPr="0045073A">
              <w:rPr>
                <w:rFonts w:ascii="Times New Roman" w:eastAsia="Times New Roman" w:hAnsi="Times New Roman" w:cs="Times New Roman"/>
                <w:b/>
                <w:bCs/>
                <w:lang w:eastAsia="pt-BR" w:bidi="ar-SA"/>
              </w:rPr>
              <w:t xml:space="preserve"> - Perfis para estrutura de forro modular</w:t>
            </w:r>
          </w:p>
          <w:p w:rsidR="001F6E65" w:rsidRPr="0045073A" w:rsidRDefault="001F6E65" w:rsidP="00C35A38">
            <w:pPr>
              <w:pStyle w:val="LO-Normal1"/>
              <w:widowControl/>
              <w:spacing w:line="276" w:lineRule="auto"/>
              <w:jc w:val="center"/>
              <w:textAlignment w:val="auto"/>
              <w:rPr>
                <w:rFonts w:ascii="Times New Roman" w:hAnsi="Times New Roman" w:cs="Times New Roman"/>
              </w:rPr>
            </w:pPr>
          </w:p>
        </w:tc>
      </w:tr>
      <w:tr w:rsidR="001E6803" w:rsidRPr="0045073A" w:rsidTr="007430D1">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lastRenderedPageBreak/>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45073A"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Lo</w:t>
            </w:r>
            <w:r w:rsidR="00ED4B6D">
              <w:rPr>
                <w:rFonts w:eastAsia="Times New Roman" w:cs="Times New Roman"/>
                <w:color w:val="000000"/>
                <w:lang w:eastAsia="pt-BR" w:bidi="ar-SA"/>
              </w:rPr>
              <w:t>n</w:t>
            </w:r>
            <w:r w:rsidRPr="0045073A">
              <w:rPr>
                <w:rFonts w:eastAsia="Times New Roman" w:cs="Times New Roman"/>
                <w:color w:val="000000"/>
                <w:lang w:eastAsia="pt-BR" w:bidi="ar-SA"/>
              </w:rPr>
              <w:t>garina (secundária) Perfil metálico T clicado para forro modular 24mmx1250mm,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R$ 5,39 </w:t>
            </w:r>
          </w:p>
        </w:tc>
        <w:tc>
          <w:tcPr>
            <w:tcW w:w="1524" w:type="dxa"/>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R$ 161,70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Lo</w:t>
            </w:r>
            <w:r w:rsidR="00C64121">
              <w:rPr>
                <w:rFonts w:eastAsia="Times New Roman" w:cs="Times New Roman"/>
                <w:color w:val="000000"/>
                <w:lang w:eastAsia="pt-BR" w:bidi="ar-SA"/>
              </w:rPr>
              <w:t>n</w:t>
            </w:r>
            <w:r w:rsidRPr="0045073A">
              <w:rPr>
                <w:rFonts w:eastAsia="Times New Roman" w:cs="Times New Roman"/>
                <w:color w:val="000000"/>
                <w:lang w:eastAsia="pt-BR" w:bidi="ar-SA"/>
              </w:rPr>
              <w:t>garina (secundária) Perfil metálico T clicado para forro modular 24mmx625mm,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R$ 3,50 </w:t>
            </w:r>
          </w:p>
        </w:tc>
        <w:tc>
          <w:tcPr>
            <w:tcW w:w="1524" w:type="dxa"/>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R$ 105,00</w:t>
            </w:r>
          </w:p>
        </w:tc>
      </w:tr>
      <w:tr w:rsidR="001E6803"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F29EF"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Lo</w:t>
            </w:r>
            <w:r w:rsidR="00C64121">
              <w:rPr>
                <w:rFonts w:eastAsia="Times New Roman" w:cs="Times New Roman"/>
                <w:color w:val="000000"/>
                <w:lang w:eastAsia="pt-BR" w:bidi="ar-SA"/>
              </w:rPr>
              <w:t>n</w:t>
            </w:r>
            <w:r w:rsidRPr="0045073A">
              <w:rPr>
                <w:rFonts w:eastAsia="Times New Roman" w:cs="Times New Roman"/>
                <w:color w:val="000000"/>
                <w:lang w:eastAsia="pt-BR" w:bidi="ar-SA"/>
              </w:rPr>
              <w:t>garina (primária) Perfil metálico T clicado para forro modular 24mmx3125mm,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45073A" w:rsidRDefault="001E6803" w:rsidP="001E6803">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R$ 17,26 </w:t>
            </w:r>
          </w:p>
        </w:tc>
        <w:tc>
          <w:tcPr>
            <w:tcW w:w="1524" w:type="dxa"/>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1E6803" w:rsidRPr="0045073A" w:rsidRDefault="001E6803"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R$ 103,56</w:t>
            </w:r>
          </w:p>
        </w:tc>
      </w:tr>
      <w:tr w:rsidR="007430D1" w:rsidRPr="0045073A" w:rsidTr="0045073A">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430D1" w:rsidRPr="0045073A" w:rsidRDefault="007430D1" w:rsidP="007430D1">
            <w:pPr>
              <w:widowControl/>
              <w:suppressAutoHyphens w:val="0"/>
              <w:textAlignment w:val="auto"/>
              <w:rPr>
                <w:rFonts w:cs="Times New Roman"/>
              </w:rPr>
            </w:pPr>
          </w:p>
          <w:p w:rsidR="007430D1" w:rsidRPr="0045073A" w:rsidRDefault="000A14C4" w:rsidP="007430D1">
            <w:pPr>
              <w:widowControl/>
              <w:suppressAutoHyphens w:val="0"/>
              <w:textAlignment w:val="auto"/>
              <w:rPr>
                <w:rFonts w:cs="Times New Roman"/>
              </w:rPr>
            </w:pPr>
            <w:r>
              <w:rPr>
                <w:rFonts w:cs="Times New Roman"/>
              </w:rPr>
              <w:t>VALOR TOTAL LOTE 03</w:t>
            </w:r>
          </w:p>
          <w:p w:rsidR="007430D1" w:rsidRPr="0045073A" w:rsidRDefault="007430D1" w:rsidP="007430D1">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7430D1" w:rsidRPr="0045073A" w:rsidRDefault="007430D1" w:rsidP="001E6803">
            <w:pPr>
              <w:pStyle w:val="LO-Normal1"/>
              <w:widowControl/>
              <w:spacing w:line="276" w:lineRule="auto"/>
              <w:jc w:val="center"/>
              <w:textAlignment w:val="auto"/>
              <w:rPr>
                <w:rFonts w:ascii="Times New Roman" w:hAnsi="Times New Roman" w:cs="Times New Roman"/>
              </w:rPr>
            </w:pPr>
          </w:p>
          <w:p w:rsidR="007430D1" w:rsidRPr="0045073A" w:rsidRDefault="007430D1" w:rsidP="001E6803">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R$ 370,26</w:t>
            </w:r>
          </w:p>
        </w:tc>
      </w:tr>
    </w:tbl>
    <w:p w:rsidR="00B10DB8" w:rsidRPr="0045073A" w:rsidRDefault="00B10DB8">
      <w:pPr>
        <w:rPr>
          <w:rFonts w:cs="Times New Roman"/>
        </w:rPr>
      </w:pPr>
    </w:p>
    <w:p w:rsidR="00B10DB8" w:rsidRPr="0045073A" w:rsidRDefault="00B10DB8">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1"/>
        <w:gridCol w:w="1425"/>
        <w:gridCol w:w="985"/>
        <w:gridCol w:w="1544"/>
        <w:gridCol w:w="1509"/>
      </w:tblGrid>
      <w:tr w:rsidR="00377DFE" w:rsidRPr="0045073A" w:rsidTr="0098698D">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45073A" w:rsidRDefault="00377DFE" w:rsidP="001E6803">
            <w:pPr>
              <w:pStyle w:val="LO-Normal1"/>
              <w:widowControl/>
              <w:spacing w:line="276" w:lineRule="auto"/>
              <w:jc w:val="center"/>
              <w:textAlignment w:val="auto"/>
              <w:rPr>
                <w:rFonts w:ascii="Times New Roman" w:hAnsi="Times New Roman" w:cs="Times New Roman"/>
                <w:b/>
              </w:rPr>
            </w:pPr>
          </w:p>
          <w:p w:rsidR="00377DFE" w:rsidRPr="0045073A" w:rsidRDefault="00377DFE" w:rsidP="00377DFE">
            <w:pPr>
              <w:pStyle w:val="LO-Normal1"/>
              <w:widowControl/>
              <w:shd w:val="clear" w:color="auto" w:fill="auto"/>
              <w:spacing w:line="276" w:lineRule="auto"/>
              <w:jc w:val="center"/>
              <w:textAlignment w:val="auto"/>
              <w:rPr>
                <w:rStyle w:val="CabealhoChar"/>
                <w:rFonts w:ascii="Times New Roman" w:hAnsi="Times New Roman" w:cs="Times New Roman"/>
                <w:b/>
              </w:rPr>
            </w:pPr>
            <w:r w:rsidRPr="0045073A">
              <w:rPr>
                <w:rStyle w:val="CabealhoChar"/>
                <w:rFonts w:ascii="Times New Roman" w:hAnsi="Times New Roman" w:cs="Times New Roman"/>
                <w:b/>
              </w:rPr>
              <w:t>ITEM - Portas de divisória naval com maçaneta tipo alavanca.</w:t>
            </w:r>
          </w:p>
          <w:p w:rsidR="00377DFE" w:rsidRPr="0045073A" w:rsidRDefault="00377DFE" w:rsidP="001E6803">
            <w:pPr>
              <w:pStyle w:val="LO-Normal1"/>
              <w:widowControl/>
              <w:spacing w:line="276" w:lineRule="auto"/>
              <w:jc w:val="center"/>
              <w:textAlignment w:val="auto"/>
              <w:rPr>
                <w:rFonts w:ascii="Times New Roman" w:hAnsi="Times New Roman" w:cs="Times New Roman"/>
              </w:rPr>
            </w:pPr>
          </w:p>
        </w:tc>
      </w:tr>
      <w:tr w:rsidR="00377DFE" w:rsidRPr="0045073A"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45073A"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45073A"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45073A"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77DFE" w:rsidRPr="0045073A"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tcPr>
          <w:p w:rsidR="00377DFE" w:rsidRPr="0045073A"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tcPr>
          <w:p w:rsidR="00377DFE" w:rsidRPr="0045073A" w:rsidRDefault="00377DFE" w:rsidP="00377DFE">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B10DB8" w:rsidRPr="0045073A" w:rsidTr="0098698D">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45073A" w:rsidRDefault="001F29EF" w:rsidP="00B10DB8">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10DB8" w:rsidRPr="0045073A" w:rsidRDefault="00B10DB8" w:rsidP="00B10DB8">
            <w:pPr>
              <w:pStyle w:val="Standard"/>
              <w:jc w:val="both"/>
              <w:rPr>
                <w:rFonts w:ascii="Times New Roman" w:hAnsi="Times New Roman" w:cs="Times New Roman"/>
              </w:rPr>
            </w:pPr>
            <w:r w:rsidRPr="0045073A">
              <w:rPr>
                <w:rFonts w:ascii="Times New Roman" w:hAnsi="Times New Roman" w:cs="Times New Roman"/>
              </w:rPr>
              <w:t xml:space="preserve">Porta de divisória naval, com dimensões aproximadas de 80cm de largura por 210cm de altura e 35mm de espessura, </w:t>
            </w:r>
            <w:proofErr w:type="spellStart"/>
            <w:r w:rsidRPr="0045073A">
              <w:rPr>
                <w:rFonts w:ascii="Times New Roman" w:hAnsi="Times New Roman" w:cs="Times New Roman"/>
              </w:rPr>
              <w:t>contraplacadas</w:t>
            </w:r>
            <w:proofErr w:type="spellEnd"/>
            <w:r w:rsidRPr="0045073A">
              <w:rPr>
                <w:rFonts w:ascii="Times New Roman" w:hAnsi="Times New Roman" w:cs="Times New Roman"/>
              </w:rPr>
              <w:t xml:space="preserve"> em ambas as faces por chapa de fibra de madeira prensada com acabamento em laminado </w:t>
            </w:r>
            <w:proofErr w:type="spellStart"/>
            <w:r w:rsidRPr="0045073A">
              <w:rPr>
                <w:rFonts w:ascii="Times New Roman" w:hAnsi="Times New Roman" w:cs="Times New Roman"/>
              </w:rPr>
              <w:t>melamínico</w:t>
            </w:r>
            <w:proofErr w:type="spellEnd"/>
            <w:r w:rsidRPr="0045073A">
              <w:rPr>
                <w:rFonts w:ascii="Times New Roman" w:hAnsi="Times New Roman" w:cs="Times New Roman"/>
              </w:rPr>
              <w:t xml:space="preserve"> com pintura </w:t>
            </w:r>
            <w:proofErr w:type="spellStart"/>
            <w:r w:rsidRPr="0045073A">
              <w:rPr>
                <w:rFonts w:ascii="Times New Roman" w:hAnsi="Times New Roman" w:cs="Times New Roman"/>
              </w:rPr>
              <w:t>alquídica</w:t>
            </w:r>
            <w:proofErr w:type="spellEnd"/>
            <w:r w:rsidRPr="0045073A">
              <w:rPr>
                <w:rFonts w:ascii="Times New Roman" w:hAnsi="Times New Roman" w:cs="Times New Roman"/>
              </w:rPr>
              <w:t xml:space="preserve"> na cor cinza cristal, </w:t>
            </w:r>
            <w:proofErr w:type="spellStart"/>
            <w:r w:rsidRPr="0045073A">
              <w:rPr>
                <w:rFonts w:ascii="Times New Roman" w:hAnsi="Times New Roman" w:cs="Times New Roman"/>
              </w:rPr>
              <w:t>requadradas</w:t>
            </w:r>
            <w:proofErr w:type="spellEnd"/>
            <w:r w:rsidRPr="0045073A">
              <w:rPr>
                <w:rFonts w:ascii="Times New Roman" w:hAnsi="Times New Roman" w:cs="Times New Roman"/>
              </w:rPr>
              <w:t xml:space="preserve"> em todo perímetro com madeira maciça seca e desempenada, encabeçadas em aço galvanizado com pintura eletrostática epóxi poliéster. Deverão possuir fechadura com maçaneta tipo alavanca, confeccionada em aço inox (testa e </w:t>
            </w:r>
            <w:proofErr w:type="spellStart"/>
            <w:r w:rsidRPr="0045073A">
              <w:rPr>
                <w:rFonts w:ascii="Times New Roman" w:hAnsi="Times New Roman" w:cs="Times New Roman"/>
              </w:rPr>
              <w:t>contra-testa</w:t>
            </w:r>
            <w:proofErr w:type="spellEnd"/>
            <w:r w:rsidRPr="0045073A">
              <w:rPr>
                <w:rFonts w:ascii="Times New Roman" w:hAnsi="Times New Roman" w:cs="Times New Roman"/>
              </w:rPr>
              <w:t xml:space="preserve">) e </w:t>
            </w:r>
            <w:proofErr w:type="spellStart"/>
            <w:r w:rsidRPr="0045073A">
              <w:rPr>
                <w:rFonts w:ascii="Times New Roman" w:hAnsi="Times New Roman" w:cs="Times New Roman"/>
              </w:rPr>
              <w:t>zamac</w:t>
            </w:r>
            <w:proofErr w:type="spellEnd"/>
            <w:r w:rsidRPr="0045073A">
              <w:rPr>
                <w:rFonts w:ascii="Times New Roman" w:hAnsi="Times New Roman" w:cs="Times New Roman"/>
              </w:rPr>
              <w:t xml:space="preserve"> (maçaneta, lingueta e cilindro) e acabamento cromado. Distância mínima da broca de 40mm, referência PAPAIZ ou equivalente (para sanitários acessíveis). As medidas de cada uma das unidades deverão ser confirmadas "in loco" antes da confecção e entrega.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45073A" w:rsidRDefault="00B10DB8" w:rsidP="00B10DB8">
            <w:pPr>
              <w:pStyle w:val="TableContents"/>
              <w:jc w:val="center"/>
              <w:rPr>
                <w:rFonts w:ascii="Times New Roman" w:hAnsi="Times New Roman" w:cs="Times New Roman"/>
              </w:rPr>
            </w:pPr>
            <w:r w:rsidRPr="0045073A">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10DB8" w:rsidRPr="0045073A" w:rsidRDefault="00B10DB8" w:rsidP="00B10DB8">
            <w:pPr>
              <w:pStyle w:val="TableContents"/>
              <w:jc w:val="center"/>
              <w:rPr>
                <w:rFonts w:ascii="Times New Roman" w:hAnsi="Times New Roman" w:cs="Times New Roman"/>
              </w:rPr>
            </w:pPr>
            <w:proofErr w:type="spellStart"/>
            <w:r w:rsidRPr="0045073A">
              <w:rPr>
                <w:rFonts w:ascii="Times New Roman" w:hAnsi="Times New Roman" w:cs="Times New Roman"/>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B10DB8" w:rsidRPr="0045073A" w:rsidRDefault="00B10DB8" w:rsidP="00B10DB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 xml:space="preserve">R$ 599,00 </w:t>
            </w:r>
          </w:p>
        </w:tc>
        <w:tc>
          <w:tcPr>
            <w:tcW w:w="1524" w:type="dxa"/>
            <w:tcBorders>
              <w:top w:val="single" w:sz="4" w:space="0" w:color="000000"/>
              <w:left w:val="single" w:sz="4" w:space="0" w:color="000000"/>
              <w:bottom w:val="single" w:sz="4" w:space="0" w:color="000000"/>
              <w:right w:val="single" w:sz="4" w:space="0" w:color="000000"/>
            </w:tcBorders>
          </w:tcPr>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E12F45" w:rsidRPr="0045073A" w:rsidRDefault="00E12F45" w:rsidP="00B10DB8">
            <w:pPr>
              <w:pStyle w:val="LO-Normal1"/>
              <w:widowControl/>
              <w:spacing w:line="276" w:lineRule="auto"/>
              <w:jc w:val="center"/>
              <w:textAlignment w:val="auto"/>
              <w:rPr>
                <w:rFonts w:ascii="Times New Roman" w:hAnsi="Times New Roman" w:cs="Times New Roman"/>
              </w:rPr>
            </w:pPr>
          </w:p>
          <w:p w:rsidR="00B10DB8" w:rsidRPr="0045073A" w:rsidRDefault="00B10DB8" w:rsidP="00B10DB8">
            <w:pPr>
              <w:pStyle w:val="LO-Normal1"/>
              <w:widowControl/>
              <w:spacing w:line="276" w:lineRule="auto"/>
              <w:jc w:val="center"/>
              <w:textAlignment w:val="auto"/>
              <w:rPr>
                <w:rFonts w:ascii="Times New Roman" w:hAnsi="Times New Roman" w:cs="Times New Roman"/>
              </w:rPr>
            </w:pPr>
            <w:r w:rsidRPr="0045073A">
              <w:rPr>
                <w:rFonts w:ascii="Times New Roman" w:hAnsi="Times New Roman" w:cs="Times New Roman"/>
              </w:rPr>
              <w:t>R$ 2.396,00</w:t>
            </w:r>
          </w:p>
        </w:tc>
      </w:tr>
    </w:tbl>
    <w:p w:rsidR="00505FAB" w:rsidRDefault="00505FAB">
      <w:pPr>
        <w:pStyle w:val="Legenda"/>
        <w:rPr>
          <w:rFonts w:cs="Times New Roman"/>
        </w:rPr>
      </w:pPr>
    </w:p>
    <w:p w:rsidR="00505FAB" w:rsidRDefault="00505FAB">
      <w:pPr>
        <w:spacing w:line="360" w:lineRule="auto"/>
        <w:ind w:firstLine="1417"/>
        <w:jc w:val="both"/>
      </w:pPr>
    </w:p>
    <w:p w:rsidR="00505FAB" w:rsidRDefault="00C54368">
      <w:pPr>
        <w:spacing w:line="360" w:lineRule="auto"/>
        <w:ind w:firstLine="1417"/>
        <w:jc w:val="both"/>
      </w:pPr>
      <w:r>
        <w:t xml:space="preserve">9.5 Serão desclassificadas as propostas com valores unitários e totais acima do limite </w:t>
      </w:r>
      <w:r>
        <w:lastRenderedPageBreak/>
        <w:t>estimado, na fase de “Aceitação”.</w:t>
      </w:r>
    </w:p>
    <w:p w:rsidR="00A72A89" w:rsidRPr="00B83CEC" w:rsidRDefault="00B83CEC" w:rsidP="00A72A89">
      <w:pPr>
        <w:spacing w:line="360" w:lineRule="auto"/>
        <w:ind w:firstLine="1417"/>
        <w:jc w:val="both"/>
      </w:pPr>
      <w:r w:rsidRPr="00B83CEC">
        <w:t xml:space="preserve">9.5.1 </w:t>
      </w:r>
      <w:r w:rsidR="00A72A89" w:rsidRPr="00B83CEC">
        <w:t>A proposta deverá conter para cada item: a marca (fabricante), o modelo, o código do fabricante (quando aplicável), e a descrição técnica completa do produto a ser fornecido de acordo com as informações constantes na des</w:t>
      </w:r>
      <w:r w:rsidR="00A939B2">
        <w:t>crição dos itens presentes no</w:t>
      </w:r>
      <w:r w:rsidR="00A72A89" w:rsidRPr="00B83CEC">
        <w:t xml:space="preserve"> Termo de Referência; </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lastRenderedPageBreak/>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9D08F8">
        <w:rPr>
          <w:rFonts w:eastAsia="CourierNewPSMT" w:cs="CourierNewPSMT"/>
          <w:b/>
          <w:bCs/>
        </w:rPr>
        <w:t>REGÃO ELETRÔNICO Nº 32</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6902CB" w:rsidRPr="006902CB">
          <w:rPr>
            <w:rStyle w:val="Hyperlink"/>
            <w:rFonts w:cs="Times New Roman"/>
            <w:b/>
            <w:color w:val="000000"/>
            <w:u w:val="none"/>
          </w:rPr>
          <w:t>19.00.61</w:t>
        </w:r>
        <w:r w:rsidR="002E6186">
          <w:rPr>
            <w:rStyle w:val="Hyperlink"/>
            <w:rFonts w:cs="Times New Roman"/>
            <w:b/>
            <w:color w:val="000000"/>
            <w:u w:val="none"/>
          </w:rPr>
          <w:t>2</w:t>
        </w:r>
        <w:r w:rsidR="006902CB" w:rsidRPr="006902CB">
          <w:rPr>
            <w:rStyle w:val="Hyperlink"/>
            <w:rFonts w:cs="Times New Roman"/>
            <w:b/>
            <w:color w:val="000000"/>
            <w:u w:val="none"/>
          </w:rPr>
          <w:t>0.000</w:t>
        </w:r>
        <w:r w:rsidR="002E6186">
          <w:rPr>
            <w:rStyle w:val="Hyperlink"/>
            <w:rFonts w:cs="Times New Roman"/>
            <w:b/>
            <w:color w:val="000000"/>
            <w:u w:val="none"/>
          </w:rPr>
          <w:t>8459</w:t>
        </w:r>
        <w:r w:rsidR="006902CB" w:rsidRPr="006902CB">
          <w:rPr>
            <w:rStyle w:val="Hyperlink"/>
            <w:rFonts w:cs="Times New Roman"/>
            <w:b/>
            <w:color w:val="000000"/>
            <w:u w:val="none"/>
          </w:rPr>
          <w:t>/2019-</w:t>
        </w:r>
        <w:r w:rsidR="002E6186">
          <w:rPr>
            <w:rStyle w:val="Hyperlink"/>
            <w:rFonts w:cs="Times New Roman"/>
            <w:b/>
            <w:color w:val="000000"/>
            <w:u w:val="none"/>
          </w:rPr>
          <w:t>2</w:t>
        </w:r>
        <w:r w:rsidR="006902CB" w:rsidRPr="006902CB">
          <w:rPr>
            <w:rStyle w:val="Hyperlink"/>
            <w:rFonts w:cs="Times New Roman"/>
            <w:b/>
            <w:color w:val="000000"/>
            <w:u w:val="none"/>
          </w:rPr>
          <w:t>7</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lastRenderedPageBreak/>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2E6186"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w:t>
      </w:r>
      <w:r>
        <w:rPr>
          <w:rFonts w:eastAsia="Times New Roman" w:cs="Times New Roman"/>
          <w:color w:val="000000"/>
        </w:rPr>
        <w:lastRenderedPageBreak/>
        <w:t xml:space="preserve">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w:t>
      </w:r>
      <w:r>
        <w:rPr>
          <w:rFonts w:ascii="Times New Roman" w:hAnsi="Times New Roman" w:cs="Trebuchet MS"/>
          <w:b/>
          <w:bCs/>
        </w:rPr>
        <w:lastRenderedPageBreak/>
        <w:t>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w:t>
      </w:r>
      <w:r w:rsidR="002E6186">
        <w:rPr>
          <w:rFonts w:ascii="Times New Roman" w:eastAsia="Lucida Sans Unicode" w:hAnsi="Times New Roman" w:cs="Tahoma"/>
        </w:rPr>
        <w:t>s</w:t>
      </w:r>
      <w:r>
        <w:rPr>
          <w:rFonts w:ascii="Times New Roman" w:eastAsia="Lucida Sans Unicode" w:hAnsi="Times New Roman" w:cs="Tahoma"/>
        </w:rPr>
        <w:t xml:space="preserve"> ite</w:t>
      </w:r>
      <w:r w:rsidR="002E6186">
        <w:rPr>
          <w:rFonts w:ascii="Times New Roman" w:eastAsia="Lucida Sans Unicode" w:hAnsi="Times New Roman" w:cs="Tahoma"/>
        </w:rPr>
        <w:t>ns</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2E6186">
        <w:rPr>
          <w:rFonts w:ascii="Times New Roman" w:eastAsia="Lucida Sans Unicode" w:hAnsi="Times New Roman" w:cs="Tahoma"/>
        </w:rPr>
        <w:t>-</w:t>
      </w:r>
      <w:r w:rsidR="0003246F">
        <w:rPr>
          <w:rFonts w:ascii="Times New Roman" w:eastAsia="Lucida Sans Unicode" w:hAnsi="Times New Roman" w:cs="Tahoma"/>
        </w:rPr>
        <w:t xml:space="preserve"> Das sanções administrativas</w:t>
      </w:r>
      <w:r w:rsidR="002E6186">
        <w:rPr>
          <w:rFonts w:ascii="Times New Roman" w:eastAsia="Lucida Sans Unicode" w:hAnsi="Times New Roman" w:cs="Tahoma"/>
        </w:rPr>
        <w:t xml:space="preserve"> e 16 – Tabela de Penalidades</w:t>
      </w:r>
      <w:r>
        <w:rPr>
          <w:rFonts w:ascii="Times New Roman" w:eastAsia="Lucida Sans Unicode" w:hAnsi="Times New Roman" w:cs="Tahoma"/>
        </w:rPr>
        <w:t>,</w:t>
      </w:r>
      <w:r w:rsidR="002E6186">
        <w:rPr>
          <w:rFonts w:ascii="Times New Roman" w:eastAsia="Lucida Sans Unicode" w:hAnsi="Times New Roman" w:cs="Tahoma"/>
        </w:rPr>
        <w:t xml:space="preserve"> ambos</w:t>
      </w:r>
      <w:r>
        <w:rPr>
          <w:rFonts w:ascii="Times New Roman" w:eastAsia="Lucida Sans Unicode" w:hAnsi="Times New Roman" w:cs="Tahoma"/>
        </w:rPr>
        <w:t xml:space="preserve">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 xml:space="preserve">11.5 No caso de não-recolhimento do valor da multa, dentro de 5 (cinco) dias úteis a contar da data da intimação para o pagamento, a importância será descontada da garantia prestada </w:t>
      </w:r>
      <w:r>
        <w:lastRenderedPageBreak/>
        <w:t>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 xml:space="preserve">12.8 Os autos do processo permanecerão com vista franqueada aos interessados, na sala da CPL, no Edifício deste Conselho, sito: SAFS (Setor de Administração Federal Sul), Quadra </w:t>
      </w:r>
      <w:r>
        <w:rPr>
          <w:rFonts w:cs="Trebuchet MS"/>
        </w:rPr>
        <w:lastRenderedPageBreak/>
        <w:t>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w:t>
      </w:r>
      <w:r w:rsidR="00C6708B">
        <w:rPr>
          <w:color w:val="000000"/>
        </w:rPr>
        <w:t xml:space="preserve"> </w:t>
      </w:r>
      <w:r w:rsidR="00C6708B" w:rsidRPr="00C6708B">
        <w:rPr>
          <w:rFonts w:eastAsia="Times New Roman" w:cs="Times New Roman"/>
          <w:bCs/>
          <w:color w:val="000000"/>
          <w:lang w:eastAsia="pt-BR" w:bidi="ar-SA"/>
        </w:rPr>
        <w:t>33.90.30</w:t>
      </w:r>
      <w:r w:rsidR="002E6186">
        <w:rPr>
          <w:rFonts w:eastAsia="Times New Roman" w:cs="Times New Roman"/>
          <w:bCs/>
          <w:color w:val="000000"/>
          <w:lang w:eastAsia="pt-BR" w:bidi="ar-SA"/>
        </w:rPr>
        <w:t>-</w:t>
      </w:r>
      <w:r w:rsidR="00C6708B" w:rsidRPr="00C6708B">
        <w:rPr>
          <w:rFonts w:eastAsia="Times New Roman" w:cs="Times New Roman"/>
          <w:bCs/>
          <w:color w:val="000000"/>
          <w:lang w:eastAsia="pt-BR" w:bidi="ar-SA"/>
        </w:rPr>
        <w:t>24</w:t>
      </w:r>
      <w:r w:rsidRPr="00C6708B">
        <w:rPr>
          <w:color w:val="000000"/>
        </w:rPr>
        <w:t>,</w:t>
      </w:r>
      <w:r w:rsidR="00C6708B">
        <w:rPr>
          <w:color w:val="000000"/>
        </w:rPr>
        <w:t xml:space="preserve"> 33.90.30</w:t>
      </w:r>
      <w:r w:rsidR="002E6186">
        <w:rPr>
          <w:color w:val="000000"/>
        </w:rPr>
        <w:t>-</w:t>
      </w:r>
      <w:r w:rsidR="00C6708B">
        <w:rPr>
          <w:color w:val="000000"/>
        </w:rPr>
        <w:t>42</w:t>
      </w:r>
      <w:r w:rsidR="002E6186">
        <w:rPr>
          <w:color w:val="000000"/>
        </w:rPr>
        <w:t xml:space="preserve"> e</w:t>
      </w:r>
      <w:r w:rsidR="00C6708B">
        <w:rPr>
          <w:color w:val="000000"/>
        </w:rPr>
        <w:t xml:space="preserve"> 33.90.30</w:t>
      </w:r>
      <w:r w:rsidR="002E6186">
        <w:rPr>
          <w:color w:val="000000"/>
        </w:rPr>
        <w:t>-</w:t>
      </w:r>
      <w:r w:rsidR="00C6708B">
        <w:rPr>
          <w:color w:val="000000"/>
        </w:rPr>
        <w:t>28</w:t>
      </w:r>
      <w:r w:rsidR="002E6186">
        <w:rPr>
          <w:color w:val="000000"/>
        </w:rPr>
        <w:t>,</w:t>
      </w:r>
      <w:r w:rsidR="00C6708B">
        <w:rPr>
          <w:color w:val="000000"/>
        </w:rPr>
        <w:t xml:space="preserve"> </w:t>
      </w:r>
      <w:r>
        <w:rPr>
          <w:color w:val="000000"/>
        </w:rPr>
        <w:t>constante</w:t>
      </w:r>
      <w:r w:rsidR="002E6186">
        <w:rPr>
          <w:color w:val="000000"/>
        </w:rPr>
        <w:t>s</w:t>
      </w:r>
      <w:r>
        <w:rPr>
          <w:color w:val="000000"/>
        </w:rPr>
        <w:t xml:space="preserv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lastRenderedPageBreak/>
        <w:tab/>
        <w:t xml:space="preserve">16.2 Da mesma forma, a Adjudicatária deverá indicar um preposto </w:t>
      </w:r>
      <w:proofErr w:type="gramStart"/>
      <w:r>
        <w:t>para, se</w:t>
      </w:r>
      <w:proofErr w:type="gramEnd"/>
      <w:r>
        <w:t xml:space="preserv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 xml:space="preserve">O desatendimento de exigências formais não essenciais não importará no </w:t>
      </w:r>
      <w:r>
        <w:rPr>
          <w:rFonts w:eastAsia="Arial" w:cs="Arial"/>
        </w:rPr>
        <w:lastRenderedPageBreak/>
        <w:t>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 xml:space="preserve">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w:t>
      </w:r>
      <w:r>
        <w:lastRenderedPageBreak/>
        <w:t>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9D08F8">
      <w:pPr>
        <w:spacing w:line="360" w:lineRule="auto"/>
        <w:jc w:val="center"/>
        <w:rPr>
          <w:b/>
          <w:u w:val="single"/>
        </w:rPr>
      </w:pPr>
      <w:r>
        <w:rPr>
          <w:b/>
          <w:u w:val="single"/>
        </w:rPr>
        <w:lastRenderedPageBreak/>
        <w:t>EDITAL DE LICITAÇÃO Nº 32</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w:t>
        </w:r>
        <w:r w:rsidR="002E6186">
          <w:rPr>
            <w:rStyle w:val="Hyperlink"/>
            <w:rFonts w:cs="Times New Roman"/>
            <w:b/>
            <w:color w:val="000000"/>
          </w:rPr>
          <w:t>2</w:t>
        </w:r>
        <w:r w:rsidR="006902CB" w:rsidRPr="006902CB">
          <w:rPr>
            <w:rStyle w:val="Hyperlink"/>
            <w:rFonts w:cs="Times New Roman"/>
            <w:b/>
            <w:color w:val="000000"/>
          </w:rPr>
          <w:t>0.000</w:t>
        </w:r>
        <w:r w:rsidR="002E6186">
          <w:rPr>
            <w:rStyle w:val="Hyperlink"/>
            <w:rFonts w:cs="Times New Roman"/>
            <w:b/>
            <w:color w:val="000000"/>
          </w:rPr>
          <w:t>8459</w:t>
        </w:r>
        <w:r w:rsidR="006902CB" w:rsidRPr="006902CB">
          <w:rPr>
            <w:rStyle w:val="Hyperlink"/>
            <w:rFonts w:cs="Times New Roman"/>
            <w:b/>
            <w:color w:val="000000"/>
          </w:rPr>
          <w:t>/2019-</w:t>
        </w:r>
        <w:r w:rsidR="002E6186">
          <w:rPr>
            <w:rStyle w:val="Hyperlink"/>
            <w:rFonts w:cs="Times New Roman"/>
            <w:b/>
            <w:color w:val="000000"/>
          </w:rPr>
          <w:t>2</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Pr="004003F8" w:rsidRDefault="00C54368">
      <w:pPr>
        <w:autoSpaceDE w:val="0"/>
        <w:spacing w:line="360" w:lineRule="auto"/>
        <w:jc w:val="center"/>
        <w:rPr>
          <w:rFonts w:cs="Times New Roman"/>
          <w:b/>
          <w:bCs/>
          <w:u w:val="single"/>
        </w:rPr>
      </w:pPr>
      <w:r w:rsidRPr="004003F8">
        <w:rPr>
          <w:rFonts w:cs="Times New Roman"/>
          <w:b/>
          <w:bCs/>
          <w:u w:val="single"/>
        </w:rPr>
        <w:t>TERMO DE REFERÊNCIA</w:t>
      </w:r>
    </w:p>
    <w:p w:rsidR="0052623B" w:rsidRPr="004003F8" w:rsidRDefault="0052623B" w:rsidP="00674FB7">
      <w:pPr>
        <w:pStyle w:val="western"/>
        <w:spacing w:before="0" w:after="0"/>
        <w:rPr>
          <w:rFonts w:cs="Times New Roman"/>
          <w:b/>
          <w:bCs/>
          <w:u w:val="single"/>
        </w:rPr>
      </w:pPr>
    </w:p>
    <w:p w:rsidR="0052623B" w:rsidRPr="004003F8" w:rsidRDefault="0052623B" w:rsidP="0052623B">
      <w:pPr>
        <w:pStyle w:val="western"/>
        <w:spacing w:before="0" w:after="0"/>
        <w:jc w:val="center"/>
        <w:rPr>
          <w:rFonts w:cs="Times New Roman"/>
          <w:b/>
          <w:bCs/>
          <w:u w:val="single"/>
        </w:rPr>
      </w:pPr>
    </w:p>
    <w:p w:rsidR="0052623B" w:rsidRPr="004003F8" w:rsidRDefault="0052623B" w:rsidP="0052623B">
      <w:pPr>
        <w:numPr>
          <w:ilvl w:val="0"/>
          <w:numId w:val="17"/>
        </w:numPr>
        <w:shd w:val="clear" w:color="auto" w:fill="B3B3B3"/>
        <w:autoSpaceDN w:val="0"/>
        <w:spacing w:before="57" w:after="57" w:line="360" w:lineRule="auto"/>
        <w:jc w:val="both"/>
        <w:rPr>
          <w:rFonts w:cs="Times New Roman"/>
          <w:b/>
          <w:bCs/>
        </w:rPr>
      </w:pPr>
      <w:r w:rsidRPr="004003F8">
        <w:rPr>
          <w:rFonts w:cs="Times New Roman"/>
          <w:b/>
          <w:bCs/>
        </w:rPr>
        <w:t>Definição do Objeto</w:t>
      </w:r>
    </w:p>
    <w:p w:rsidR="0052623B" w:rsidRPr="004003F8"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4003F8"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4003F8">
        <w:rPr>
          <w:rFonts w:cs="Times New Roman"/>
          <w:bCs/>
          <w:lang w:eastAsia="hi-IN"/>
        </w:rPr>
        <w:t xml:space="preserve">O objeto deste termo de referência é a </w:t>
      </w:r>
      <w:r w:rsidR="00673E9F" w:rsidRPr="004003F8">
        <w:rPr>
          <w:rFonts w:cs="Times New Roman"/>
          <w:bCs/>
          <w:lang w:eastAsia="hi-IN"/>
        </w:rPr>
        <w:t>Aquisição de materiais necessários à manutenção e conservação predial preventiva e corretiva do edifício-sede do Conselho Nacional do Ministério Público. Os materiais consistem em material de infraestrutura predial diversos e de acabamento, ferragens de fechaduras para as portas, itens específicos de infraestrutura predial e de acabamento, perfis para estrutura de forro modular, e portas de divisória naval com maçaneta tipo alavanca, para a realização das atividades da área de engenharia e arquitetura do CNMP.</w:t>
      </w:r>
      <w:r w:rsidR="00737EDC" w:rsidRPr="004003F8">
        <w:rPr>
          <w:rFonts w:cs="Times New Roman"/>
          <w:bCs/>
          <w:lang w:eastAsia="hi-IN"/>
        </w:rPr>
        <w:t xml:space="preserve"> </w:t>
      </w:r>
    </w:p>
    <w:p w:rsidR="0052623B" w:rsidRPr="004003F8"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4003F8" w:rsidRDefault="0052623B" w:rsidP="0052623B">
      <w:pPr>
        <w:numPr>
          <w:ilvl w:val="0"/>
          <w:numId w:val="17"/>
        </w:numPr>
        <w:shd w:val="clear" w:color="auto" w:fill="B3B3B3"/>
        <w:autoSpaceDN w:val="0"/>
        <w:spacing w:before="57" w:after="57" w:line="360" w:lineRule="auto"/>
        <w:jc w:val="both"/>
        <w:rPr>
          <w:rFonts w:cs="Times New Roman"/>
          <w:b/>
          <w:bCs/>
        </w:rPr>
      </w:pPr>
      <w:r w:rsidRPr="004003F8">
        <w:rPr>
          <w:rFonts w:cs="Times New Roman"/>
          <w:b/>
          <w:bCs/>
        </w:rPr>
        <w:t>Justificativa e Alinhamento com o Planejamento Estratégico</w:t>
      </w:r>
    </w:p>
    <w:p w:rsidR="0052623B" w:rsidRPr="004003F8"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4003F8"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4003F8">
        <w:rPr>
          <w:rFonts w:cs="Times New Roman"/>
          <w:bCs/>
          <w:lang w:eastAsia="hi-IN"/>
        </w:rPr>
        <w:t>A presente contratação está atrelada à ação PG_19_COENG_024 – Materiais de Engenharia, presente no Plano de Gestão para o exercício de 2019.</w:t>
      </w:r>
    </w:p>
    <w:p w:rsidR="0052623B" w:rsidRPr="004003F8"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4003F8">
        <w:rPr>
          <w:rFonts w:cs="Times New Roman"/>
          <w:bCs/>
          <w:lang w:eastAsia="hi-IN"/>
        </w:rPr>
        <w:t xml:space="preserve">A aquisição de materiais elétricos, de iluminação, </w:t>
      </w:r>
      <w:proofErr w:type="spellStart"/>
      <w:r w:rsidRPr="004003F8">
        <w:rPr>
          <w:rFonts w:cs="Times New Roman"/>
          <w:bCs/>
          <w:lang w:eastAsia="hi-IN"/>
        </w:rPr>
        <w:t>hidrossanitários</w:t>
      </w:r>
      <w:proofErr w:type="spellEnd"/>
      <w:r w:rsidRPr="004003F8">
        <w:rPr>
          <w:rFonts w:cs="Times New Roman"/>
          <w:bCs/>
          <w:lang w:eastAsia="hi-IN"/>
        </w:rPr>
        <w:t xml:space="preserve">, de cabeamento estruturado, sistema de TV digital, automação, ar-condicionado, infraestrutura civil, acabamentos e demais acessórios relacionados à manutenção e conservação da edificação e de </w:t>
      </w:r>
      <w:r w:rsidRPr="004003F8">
        <w:rPr>
          <w:rFonts w:cs="Times New Roman"/>
          <w:bCs/>
          <w:lang w:eastAsia="hi-IN"/>
        </w:rPr>
        <w:lastRenderedPageBreak/>
        <w:t>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rsidR="0052623B" w:rsidRPr="004003F8"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4003F8">
        <w:rPr>
          <w:rFonts w:cs="Times New Roman"/>
          <w:bCs/>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Pr="004003F8"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4003F8">
        <w:rPr>
          <w:rFonts w:cs="Times New Roman"/>
          <w:bCs/>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sidRPr="004003F8">
        <w:rPr>
          <w:rFonts w:cs="Times New Roman"/>
          <w:bCs/>
          <w:lang w:eastAsia="hi-IN"/>
        </w:rPr>
        <w:t>desagrupados</w:t>
      </w:r>
      <w:proofErr w:type="spellEnd"/>
      <w:r w:rsidRPr="004003F8">
        <w:rPr>
          <w:rFonts w:cs="Times New Roman"/>
          <w:bCs/>
          <w:lang w:eastAsia="hi-IN"/>
        </w:rPr>
        <w:t xml:space="preserve"> de lotes, de modo a considerar essas diferenças na licitação.</w:t>
      </w:r>
    </w:p>
    <w:p w:rsidR="0052623B" w:rsidRPr="004003F8"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4003F8">
        <w:rPr>
          <w:rFonts w:cs="Times New Roman"/>
          <w:bCs/>
          <w:lang w:eastAsia="hi-IN"/>
        </w:rPr>
        <w:t xml:space="preserve">A adjudicação será por grupo de itens (lote) ou, dependendo do caso, em itens isolados, e a empreitada em ambos os casos por preço unitário. A utilização de grupo de itens, quando aplicável, se justifica para que não haja perda de economia de escala de acordo com </w:t>
      </w:r>
      <w:r w:rsidRPr="004003F8">
        <w:rPr>
          <w:rFonts w:cs="Times New Roman"/>
          <w:bCs/>
          <w:lang w:eastAsia="hi-IN"/>
        </w:rPr>
        <w:lastRenderedPageBreak/>
        <w:t>§1º do art. 23 da Lei 8666/93. Os itens que estão presentes no lote possuem total correlação, de modo que, sem restrição da competitividade, seja viabilizada a economia de escala.</w:t>
      </w:r>
    </w:p>
    <w:p w:rsidR="0052623B" w:rsidRPr="004003F8"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4003F8" w:rsidRDefault="0052623B" w:rsidP="0052623B">
      <w:pPr>
        <w:numPr>
          <w:ilvl w:val="0"/>
          <w:numId w:val="17"/>
        </w:numPr>
        <w:shd w:val="clear" w:color="auto" w:fill="B3B3B3"/>
        <w:autoSpaceDN w:val="0"/>
        <w:spacing w:before="57" w:after="57" w:line="360" w:lineRule="auto"/>
        <w:jc w:val="both"/>
        <w:rPr>
          <w:rFonts w:cs="Times New Roman"/>
          <w:b/>
          <w:bCs/>
        </w:rPr>
      </w:pPr>
      <w:r w:rsidRPr="004003F8">
        <w:rPr>
          <w:rFonts w:cs="Times New Roman"/>
          <w:b/>
          <w:bCs/>
        </w:rPr>
        <w:t>Descrição do Objeto</w:t>
      </w:r>
    </w:p>
    <w:p w:rsidR="0052623B" w:rsidRPr="004003F8"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4003F8"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4003F8">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Pr="004003F8"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4003F8">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Pr="004003F8"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4003F8">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Pr="004003F8"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4003F8">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Pr="004003F8" w:rsidRDefault="0052623B" w:rsidP="0052623B">
      <w:pPr>
        <w:tabs>
          <w:tab w:val="left" w:pos="1249"/>
          <w:tab w:val="left" w:pos="1958"/>
        </w:tabs>
        <w:snapToGrid w:val="0"/>
        <w:spacing w:before="57" w:after="57" w:line="360" w:lineRule="auto"/>
        <w:ind w:left="1069"/>
        <w:jc w:val="both"/>
        <w:rPr>
          <w:rFonts w:cs="Times New Roman"/>
          <w:bCs/>
          <w:lang w:eastAsia="hi-IN"/>
        </w:rPr>
      </w:pPr>
    </w:p>
    <w:p w:rsidR="0052623B" w:rsidRPr="004003F8"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4003F8">
        <w:rPr>
          <w:rFonts w:cs="Times New Roman"/>
          <w:bCs/>
          <w:lang w:eastAsia="hi-IN"/>
        </w:rPr>
        <w:t>Especificações técnicas</w:t>
      </w:r>
    </w:p>
    <w:p w:rsidR="0052623B" w:rsidRPr="004003F8" w:rsidRDefault="0052623B" w:rsidP="0052623B">
      <w:pPr>
        <w:tabs>
          <w:tab w:val="left" w:pos="1249"/>
          <w:tab w:val="left" w:pos="1958"/>
        </w:tabs>
        <w:snapToGrid w:val="0"/>
        <w:spacing w:before="57" w:after="57" w:line="360" w:lineRule="auto"/>
        <w:ind w:left="1440"/>
        <w:jc w:val="both"/>
        <w:rPr>
          <w:rFonts w:cs="Times New Roman"/>
          <w:bCs/>
          <w:lang w:eastAsia="hi-IN"/>
        </w:rPr>
      </w:pPr>
    </w:p>
    <w:p w:rsidR="0052623B" w:rsidRPr="004003F8" w:rsidRDefault="00D92B80" w:rsidP="0052623B">
      <w:pPr>
        <w:pStyle w:val="PargrafodaLista"/>
        <w:numPr>
          <w:ilvl w:val="2"/>
          <w:numId w:val="17"/>
        </w:numPr>
        <w:shd w:val="clear" w:color="auto" w:fill="auto"/>
        <w:autoSpaceDN w:val="0"/>
        <w:rPr>
          <w:rFonts w:ascii="Times New Roman" w:hAnsi="Times New Roman" w:cs="Times New Roman"/>
          <w:bCs/>
          <w:lang w:eastAsia="hi-IN"/>
        </w:rPr>
      </w:pPr>
      <w:r w:rsidRPr="004003F8">
        <w:rPr>
          <w:rFonts w:ascii="Times New Roman" w:hAnsi="Times New Roman" w:cs="Times New Roman"/>
          <w:bCs/>
          <w:lang w:eastAsia="hi-IN"/>
        </w:rPr>
        <w:lastRenderedPageBreak/>
        <w:t>LOTE 01, LOTE 02, Itens específicos e LOTE 03</w:t>
      </w:r>
      <w:r w:rsidR="0052623B" w:rsidRPr="004003F8">
        <w:rPr>
          <w:rFonts w:ascii="Times New Roman" w:hAnsi="Times New Roman" w:cs="Times New Roman"/>
          <w:bCs/>
          <w:lang w:eastAsia="hi-IN"/>
        </w:rPr>
        <w:t>- Material de infraestrutura predial e acabamento</w:t>
      </w:r>
    </w:p>
    <w:p w:rsidR="0052623B" w:rsidRPr="004003F8" w:rsidRDefault="0052623B" w:rsidP="0052623B">
      <w:pPr>
        <w:numPr>
          <w:ilvl w:val="3"/>
          <w:numId w:val="17"/>
        </w:numPr>
        <w:shd w:val="clear" w:color="auto" w:fill="auto"/>
        <w:tabs>
          <w:tab w:val="left" w:pos="0"/>
          <w:tab w:val="left" w:pos="1249"/>
          <w:tab w:val="left" w:pos="1485"/>
          <w:tab w:val="left" w:pos="1958"/>
          <w:tab w:val="left" w:pos="2194"/>
        </w:tabs>
        <w:autoSpaceDN w:val="0"/>
        <w:snapToGrid w:val="0"/>
        <w:spacing w:before="57" w:after="240" w:line="360" w:lineRule="auto"/>
        <w:ind w:left="776" w:hanging="538"/>
        <w:jc w:val="both"/>
        <w:rPr>
          <w:rFonts w:cs="Times New Roman"/>
        </w:rPr>
      </w:pPr>
      <w:r w:rsidRPr="004003F8">
        <w:rPr>
          <w:rFonts w:cs="Times New Roman"/>
          <w:bCs/>
          <w:lang w:eastAsia="hi-IN"/>
        </w:rPr>
        <w:t>Os materiais de infraestrutura predial e acabamento são necessários para manutenção do sistema de combate a incêndio, sistema de exaustão de banheiros, acessórios diversos de fixação, material para recomposição do forro do teto devido manutenção e intervenções e, ainda, de fechaduras que necessitam ser trocadas diante do fim de sua vida útil</w:t>
      </w:r>
    </w:p>
    <w:p w:rsidR="0052623B" w:rsidRPr="004003F8" w:rsidRDefault="00D92B80" w:rsidP="0052623B">
      <w:pPr>
        <w:numPr>
          <w:ilvl w:val="3"/>
          <w:numId w:val="17"/>
        </w:numPr>
        <w:shd w:val="clear" w:color="auto" w:fill="auto"/>
        <w:tabs>
          <w:tab w:val="left" w:pos="0"/>
          <w:tab w:val="left" w:pos="1249"/>
          <w:tab w:val="left" w:pos="1485"/>
          <w:tab w:val="left" w:pos="1958"/>
          <w:tab w:val="left" w:pos="2194"/>
        </w:tabs>
        <w:autoSpaceDN w:val="0"/>
        <w:snapToGrid w:val="0"/>
        <w:spacing w:before="57" w:after="240" w:line="360" w:lineRule="auto"/>
        <w:ind w:left="776" w:hanging="538"/>
        <w:jc w:val="both"/>
        <w:rPr>
          <w:rFonts w:cs="Times New Roman"/>
        </w:rPr>
      </w:pPr>
      <w:r w:rsidRPr="004003F8">
        <w:rPr>
          <w:rFonts w:cs="Times New Roman"/>
          <w:bCs/>
          <w:lang w:eastAsia="hi-IN"/>
        </w:rPr>
        <w:t>LOTE 01</w:t>
      </w:r>
      <w:r w:rsidR="0052623B" w:rsidRPr="004003F8">
        <w:rPr>
          <w:rFonts w:eastAsia="Times New Roman" w:cs="Times New Roman"/>
          <w:b/>
          <w:bCs/>
          <w:color w:val="000000"/>
          <w:lang w:eastAsia="pt-BR" w:bidi="ar-SA"/>
        </w:rPr>
        <w:t>- Material de infraestrutura predial diversos e de acabamento</w:t>
      </w:r>
    </w:p>
    <w:p w:rsidR="0052623B" w:rsidRPr="004003F8" w:rsidRDefault="0052623B" w:rsidP="0052623B">
      <w:pPr>
        <w:numPr>
          <w:ilvl w:val="3"/>
          <w:numId w:val="17"/>
        </w:numPr>
        <w:shd w:val="clear" w:color="auto" w:fill="auto"/>
        <w:tabs>
          <w:tab w:val="left" w:pos="0"/>
          <w:tab w:val="left" w:pos="1249"/>
          <w:tab w:val="left" w:pos="1485"/>
          <w:tab w:val="left" w:pos="1958"/>
          <w:tab w:val="left" w:pos="2194"/>
        </w:tabs>
        <w:autoSpaceDN w:val="0"/>
        <w:snapToGrid w:val="0"/>
        <w:spacing w:before="57" w:after="240" w:line="360" w:lineRule="auto"/>
        <w:ind w:left="776" w:hanging="538"/>
        <w:jc w:val="both"/>
        <w:rPr>
          <w:rFonts w:cs="Times New Roman"/>
          <w:vanish/>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4003F8"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D92B80"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LOTE 01</w:t>
            </w:r>
            <w:r w:rsidR="0052623B" w:rsidRPr="004003F8">
              <w:rPr>
                <w:rFonts w:eastAsia="Times New Roman" w:cs="Times New Roman"/>
                <w:b/>
                <w:bCs/>
                <w:color w:val="000000"/>
                <w:lang w:eastAsia="pt-BR" w:bidi="ar-SA"/>
              </w:rPr>
              <w:t xml:space="preserve"> - Material de infraestrutura predial diversos e de acabamento</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Qtd</w:t>
            </w:r>
            <w:proofErr w:type="spellEnd"/>
            <w:r w:rsidRPr="004003F8">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Und</w:t>
            </w:r>
            <w:proofErr w:type="spellEnd"/>
            <w:r w:rsidRPr="004003F8">
              <w:rPr>
                <w:rFonts w:eastAsia="Times New Roman" w:cs="Times New Roman"/>
                <w:b/>
                <w:bCs/>
                <w:color w:val="000000"/>
                <w:lang w:eastAsia="pt-BR" w:bidi="ar-SA"/>
              </w:rPr>
              <w:t>.</w:t>
            </w:r>
          </w:p>
        </w:tc>
      </w:tr>
      <w:tr w:rsidR="00D92B80" w:rsidRPr="004003F8" w:rsidTr="00D92B80">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1</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Mão francesa em metal 40 cm reforçada cor branca com parafusos de fixação</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2</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Chumbador mecânico expansivo </w:t>
            </w:r>
            <w:proofErr w:type="spellStart"/>
            <w:r w:rsidRPr="004003F8">
              <w:rPr>
                <w:rFonts w:eastAsia="Times New Roman" w:cs="Times New Roman"/>
                <w:color w:val="000000"/>
                <w:lang w:eastAsia="pt-BR" w:bidi="ar-SA"/>
              </w:rPr>
              <w:t>Parabolt</w:t>
            </w:r>
            <w:proofErr w:type="spellEnd"/>
            <w:r w:rsidRPr="004003F8">
              <w:rPr>
                <w:rFonts w:eastAsia="Times New Roman" w:cs="Times New Roman"/>
                <w:color w:val="000000"/>
                <w:lang w:eastAsia="pt-BR" w:bidi="ar-SA"/>
              </w:rPr>
              <w:t xml:space="preserve"> com jaqueta 6 mm x 50mm completo</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3</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Chumbador mecânico expansivo </w:t>
            </w:r>
            <w:proofErr w:type="spellStart"/>
            <w:r w:rsidRPr="004003F8">
              <w:rPr>
                <w:rFonts w:eastAsia="Times New Roman" w:cs="Times New Roman"/>
                <w:color w:val="000000"/>
                <w:lang w:eastAsia="pt-BR" w:bidi="ar-SA"/>
              </w:rPr>
              <w:t>Parabolt</w:t>
            </w:r>
            <w:proofErr w:type="spellEnd"/>
            <w:r w:rsidRPr="004003F8">
              <w:rPr>
                <w:rFonts w:eastAsia="Times New Roman" w:cs="Times New Roman"/>
                <w:color w:val="000000"/>
                <w:lang w:eastAsia="pt-BR" w:bidi="ar-SA"/>
              </w:rPr>
              <w:t xml:space="preserve"> com jaqueta 8mm </w:t>
            </w:r>
            <w:proofErr w:type="gramStart"/>
            <w:r w:rsidRPr="004003F8">
              <w:rPr>
                <w:rFonts w:eastAsia="Times New Roman" w:cs="Times New Roman"/>
                <w:color w:val="000000"/>
                <w:lang w:eastAsia="pt-BR" w:bidi="ar-SA"/>
              </w:rPr>
              <w:t>x  50</w:t>
            </w:r>
            <w:proofErr w:type="gramEnd"/>
            <w:r w:rsidRPr="004003F8">
              <w:rPr>
                <w:rFonts w:eastAsia="Times New Roman" w:cs="Times New Roman"/>
                <w:color w:val="000000"/>
                <w:lang w:eastAsia="pt-BR" w:bidi="ar-SA"/>
              </w:rPr>
              <w:t>mm completo</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4</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Abraçadeira de nylon para amarração nas medidas 100x2,5mm, Tensão mínima de ruptura de 8kgf na cor preta Mod. Referência: </w:t>
            </w:r>
            <w:proofErr w:type="spellStart"/>
            <w:r w:rsidRPr="004003F8">
              <w:rPr>
                <w:rFonts w:eastAsia="Times New Roman" w:cs="Times New Roman"/>
                <w:color w:val="000000"/>
                <w:lang w:eastAsia="pt-BR" w:bidi="ar-SA"/>
              </w:rPr>
              <w:t>Hellermann</w:t>
            </w:r>
            <w:proofErr w:type="spellEnd"/>
            <w:r w:rsidRPr="004003F8">
              <w:rPr>
                <w:rFonts w:eastAsia="Times New Roman" w:cs="Times New Roman"/>
                <w:color w:val="000000"/>
                <w:lang w:eastAsia="pt-BR" w:bidi="ar-SA"/>
              </w:rPr>
              <w:t xml:space="preserve"> T18.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5</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Abraçadeira de nylon para amarração nas medidas 240x2,8mm, Tensão mínima de ruptura de 11kgf na cor preta Mod. Referência: </w:t>
            </w:r>
            <w:proofErr w:type="spellStart"/>
            <w:r w:rsidRPr="004003F8">
              <w:rPr>
                <w:rFonts w:eastAsia="Times New Roman" w:cs="Times New Roman"/>
                <w:color w:val="000000"/>
                <w:lang w:eastAsia="pt-BR" w:bidi="ar-SA"/>
              </w:rPr>
              <w:t>Hellermann</w:t>
            </w:r>
            <w:proofErr w:type="spellEnd"/>
            <w:r w:rsidRPr="004003F8">
              <w:rPr>
                <w:rFonts w:eastAsia="Times New Roman" w:cs="Times New Roman"/>
                <w:color w:val="000000"/>
                <w:lang w:eastAsia="pt-BR" w:bidi="ar-SA"/>
              </w:rPr>
              <w:t xml:space="preserve"> T25.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lastRenderedPageBreak/>
              <w:t>6</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Abraçadeira de nylon para amarração nas medidas 390x8,9mm, Tensão mínima de ruptura de 68kgf na cor preta Mod. Referência: </w:t>
            </w:r>
            <w:proofErr w:type="spellStart"/>
            <w:r w:rsidRPr="004003F8">
              <w:rPr>
                <w:rFonts w:eastAsia="Times New Roman" w:cs="Times New Roman"/>
                <w:color w:val="000000"/>
                <w:lang w:eastAsia="pt-BR" w:bidi="ar-SA"/>
              </w:rPr>
              <w:t>Hellermann</w:t>
            </w:r>
            <w:proofErr w:type="spellEnd"/>
            <w:r w:rsidRPr="004003F8">
              <w:rPr>
                <w:rFonts w:eastAsia="Times New Roman" w:cs="Times New Roman"/>
                <w:color w:val="000000"/>
                <w:lang w:eastAsia="pt-BR" w:bidi="ar-SA"/>
              </w:rPr>
              <w:t xml:space="preserve"> T150.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7</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Parafuso Philips Cabeça Panela S-6 e bucha plástica com aba S-6,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8</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Parafuso Philips Cabeça Panela S-8 e bucha plástica com aba S-8,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D92B80" w:rsidRPr="004003F8" w:rsidTr="00D92B80">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D92B80" w:rsidRPr="004003F8" w:rsidRDefault="00D92B80" w:rsidP="00D92B80">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9</w:t>
            </w:r>
          </w:p>
        </w:tc>
        <w:tc>
          <w:tcPr>
            <w:tcW w:w="70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Parafuso Philips Cabeça Panela S-10 e bucha plástica com aba S-10,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D92B80" w:rsidRPr="004003F8" w:rsidRDefault="00D92B80" w:rsidP="00D92B80">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bl>
    <w:p w:rsidR="0052623B" w:rsidRPr="004003F8" w:rsidRDefault="0052623B" w:rsidP="0052623B">
      <w:pPr>
        <w:tabs>
          <w:tab w:val="left" w:pos="1249"/>
          <w:tab w:val="left" w:pos="1958"/>
        </w:tabs>
        <w:snapToGrid w:val="0"/>
        <w:spacing w:before="57" w:after="57" w:line="360" w:lineRule="auto"/>
        <w:jc w:val="both"/>
        <w:rPr>
          <w:rFonts w:cs="Times New Roman"/>
          <w:bCs/>
          <w:lang w:eastAsia="hi-IN"/>
        </w:rPr>
      </w:pPr>
    </w:p>
    <w:p w:rsidR="0052623B" w:rsidRPr="004003F8" w:rsidRDefault="00D92B80" w:rsidP="0052623B">
      <w:pPr>
        <w:pStyle w:val="PargrafodaLista"/>
        <w:numPr>
          <w:ilvl w:val="3"/>
          <w:numId w:val="17"/>
        </w:numPr>
        <w:shd w:val="clear" w:color="auto" w:fill="auto"/>
        <w:autoSpaceDN w:val="0"/>
        <w:rPr>
          <w:rFonts w:ascii="Times New Roman" w:hAnsi="Times New Roman" w:cs="Times New Roman"/>
          <w:bCs/>
          <w:lang w:eastAsia="hi-IN"/>
        </w:rPr>
      </w:pPr>
      <w:r w:rsidRPr="004003F8">
        <w:rPr>
          <w:rFonts w:ascii="Times New Roman" w:eastAsia="Times New Roman" w:hAnsi="Times New Roman" w:cs="Times New Roman"/>
          <w:b/>
          <w:bCs/>
          <w:color w:val="000000"/>
          <w:lang w:eastAsia="pt-BR" w:bidi="ar-SA"/>
        </w:rPr>
        <w:t>LOTE 02</w:t>
      </w:r>
      <w:r w:rsidR="0052623B" w:rsidRPr="004003F8">
        <w:rPr>
          <w:rFonts w:ascii="Times New Roman" w:eastAsia="Times New Roman" w:hAnsi="Times New Roman" w:cs="Times New Roman"/>
          <w:b/>
          <w:bCs/>
          <w:color w:val="000000"/>
          <w:lang w:eastAsia="pt-BR" w:bidi="ar-SA"/>
        </w:rPr>
        <w:t xml:space="preserve"> - Ferragens e fechaduras para portas</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4003F8"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D92B80"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LOTE 02</w:t>
            </w:r>
            <w:r w:rsidR="0052623B" w:rsidRPr="004003F8">
              <w:rPr>
                <w:rFonts w:eastAsia="Times New Roman" w:cs="Times New Roman"/>
                <w:b/>
                <w:bCs/>
                <w:color w:val="000000"/>
                <w:lang w:eastAsia="pt-BR" w:bidi="ar-SA"/>
              </w:rPr>
              <w:t xml:space="preserve"> - Ferragens e fechaduras para portas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Qtd</w:t>
            </w:r>
            <w:proofErr w:type="spellEnd"/>
            <w:r w:rsidRPr="004003F8">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Und</w:t>
            </w:r>
            <w:proofErr w:type="spellEnd"/>
            <w:r w:rsidRPr="004003F8">
              <w:rPr>
                <w:rFonts w:eastAsia="Times New Roman" w:cs="Times New Roman"/>
                <w:b/>
                <w:bCs/>
                <w:color w:val="000000"/>
                <w:lang w:eastAsia="pt-BR" w:bidi="ar-SA"/>
              </w:rPr>
              <w:t>.</w:t>
            </w:r>
          </w:p>
        </w:tc>
      </w:tr>
      <w:tr w:rsidR="0052623B" w:rsidRPr="004003F8"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de fechadura de porta externa 1300, com entrada, roseta, falsa contra testa e contra testa em aço inox, composta por cilindro e maçaneta em ZAMAC, com distância broca de 40mm, em acabamento cromado, com chave. Referência: IMAB DUNA Cj8769E13CR00k.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de fechadura de porta de banheiro 1300, com roseta, falsa contra testa e contra testa em aço inox, composta por maçaneta em ZAMAC, com distância broca de 40mm, em acabamento cromado. Referência: IMAB DUNA Cj8769E13CR00.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28</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bl>
    <w:p w:rsidR="0052623B" w:rsidRPr="004003F8" w:rsidRDefault="0052623B" w:rsidP="0052623B">
      <w:pPr>
        <w:rPr>
          <w:rFonts w:cs="Times New Roman"/>
          <w:bCs/>
          <w:lang w:eastAsia="hi-IN"/>
        </w:rPr>
      </w:pPr>
    </w:p>
    <w:p w:rsidR="0052623B" w:rsidRPr="004003F8" w:rsidRDefault="0052623B" w:rsidP="0052623B">
      <w:pPr>
        <w:rPr>
          <w:rFonts w:cs="Times New Roman"/>
          <w:bCs/>
          <w:lang w:eastAsia="hi-IN"/>
        </w:rPr>
      </w:pPr>
    </w:p>
    <w:p w:rsidR="0052623B" w:rsidRPr="004003F8"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4003F8">
        <w:rPr>
          <w:rFonts w:cs="Times New Roman"/>
          <w:bCs/>
          <w:lang w:eastAsia="hi-IN"/>
        </w:rPr>
        <w:lastRenderedPageBreak/>
        <w:t>ITENS Específicos de infraestrutura predial e acabamento</w:t>
      </w:r>
    </w:p>
    <w:p w:rsidR="0052623B" w:rsidRPr="004003F8" w:rsidRDefault="0052623B" w:rsidP="0052623B">
      <w:pPr>
        <w:numPr>
          <w:ilvl w:val="4"/>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4003F8">
        <w:rPr>
          <w:rFonts w:cs="Times New Roman"/>
          <w:bCs/>
          <w:lang w:eastAsia="hi-IN"/>
        </w:rPr>
        <w:t>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rsidR="0052623B" w:rsidRPr="004003F8" w:rsidRDefault="0052623B" w:rsidP="0052623B">
      <w:pPr>
        <w:numPr>
          <w:ilvl w:val="4"/>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4003F8">
        <w:rPr>
          <w:rFonts w:cs="Times New Roman"/>
          <w:bCs/>
          <w:lang w:eastAsia="hi-IN"/>
        </w:rPr>
        <w:t>Relação dos Itens Específicos de infraestrutura predial e acabamento</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4003F8"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ITENS Específicos de infraestrutura predial e acabamento</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Qtd</w:t>
            </w:r>
            <w:proofErr w:type="spellEnd"/>
            <w:r w:rsidRPr="004003F8">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Und</w:t>
            </w:r>
            <w:proofErr w:type="spellEnd"/>
            <w:r w:rsidRPr="004003F8">
              <w:rPr>
                <w:rFonts w:eastAsia="Times New Roman" w:cs="Times New Roman"/>
                <w:b/>
                <w:bCs/>
                <w:color w:val="000000"/>
                <w:lang w:eastAsia="pt-BR" w:bidi="ar-SA"/>
              </w:rPr>
              <w:t>.</w:t>
            </w:r>
          </w:p>
        </w:tc>
      </w:tr>
      <w:tr w:rsidR="0052623B" w:rsidRPr="004003F8"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Dobradiça com mola (dispositivo de fechamento automático) para porta corta fogo, conforme padrão adotado na edificação, atendendo as especificações da ABNT NBR 11.742:2003 e dos requisitos da ABNT NBR 13768:1997; confeccionadas em aço-carbono do tipo ABNT 1010/1020; dimensão de 100 mm (4") ao longo do eixo; fornecida completa, incluindo abas, eixo, cabeças, mola, carretéis, dispositivo de regulagem da mola (pinos de regulagem).</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Mola para porta com duas válvulas independentes, com controle de velocidade independente do ângulo de 180º a 20º e outro para fechamento final de 20º a 0º, permitindo a instalação em portas à esquerda ou à direita. Tempo de fechamento variável. Referência </w:t>
            </w:r>
            <w:proofErr w:type="spellStart"/>
            <w:r w:rsidRPr="004003F8">
              <w:rPr>
                <w:rFonts w:eastAsia="Times New Roman" w:cs="Times New Roman"/>
                <w:color w:val="000000"/>
                <w:lang w:eastAsia="pt-BR" w:bidi="ar-SA"/>
              </w:rPr>
              <w:t>Dorma</w:t>
            </w:r>
            <w:proofErr w:type="spellEnd"/>
            <w:r w:rsidRPr="004003F8">
              <w:rPr>
                <w:rFonts w:eastAsia="Times New Roman" w:cs="Times New Roman"/>
                <w:color w:val="000000"/>
                <w:lang w:eastAsia="pt-BR" w:bidi="ar-SA"/>
              </w:rPr>
              <w:t xml:space="preserve"> MA200/2, Soprano 302 ou </w:t>
            </w:r>
            <w:proofErr w:type="spellStart"/>
            <w:r w:rsidRPr="004003F8">
              <w:rPr>
                <w:rFonts w:eastAsia="Times New Roman" w:cs="Times New Roman"/>
                <w:color w:val="000000"/>
                <w:lang w:eastAsia="pt-BR" w:bidi="ar-SA"/>
              </w:rPr>
              <w:t>Hafele</w:t>
            </w:r>
            <w:proofErr w:type="spellEnd"/>
            <w:r w:rsidRPr="004003F8">
              <w:rPr>
                <w:rFonts w:eastAsia="Times New Roman" w:cs="Times New Roman"/>
                <w:color w:val="000000"/>
                <w:lang w:eastAsia="pt-BR" w:bidi="ar-SA"/>
              </w:rPr>
              <w:t xml:space="preserve"> DCL11 P-2</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52623B" w:rsidRPr="004003F8" w:rsidTr="00D92B80">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Fechadura de sobrepor para porta corta-fogo, com chave pelo lado externo com abertura para dentro do recinto. Referência: Fabricante Metalúrgica JVS, modelo 004Dg – Conforme padrão da porta corta-fogo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D92B80">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lastRenderedPageBreak/>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Fechadura de sobrepor para porta corta-fogo, com maçanetas livres. Referência: Fabricante Metalúrgica JVS, modelo 003 – Conforme padrão da porta corta-fogo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D92B80">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Lavatório em cerâmica suspenso: Lavatório de canto suspenso redondo com mesa, com acabamento esmaltado branco. Deve acompanhar kit de fixação para a instalação. Dimensões: 49,5x49,5cmx17cm (</w:t>
            </w:r>
            <w:proofErr w:type="spellStart"/>
            <w:r w:rsidRPr="004003F8">
              <w:rPr>
                <w:rFonts w:eastAsia="Times New Roman" w:cs="Times New Roman"/>
                <w:color w:val="000000"/>
                <w:lang w:eastAsia="pt-BR" w:bidi="ar-SA"/>
              </w:rPr>
              <w:t>LxPxA</w:t>
            </w:r>
            <w:proofErr w:type="spellEnd"/>
            <w:r w:rsidRPr="004003F8">
              <w:rPr>
                <w:rFonts w:eastAsia="Times New Roman" w:cs="Times New Roman"/>
                <w:color w:val="000000"/>
                <w:lang w:eastAsia="pt-BR" w:bidi="ar-SA"/>
              </w:rPr>
              <w:t>).  1.1.4.2 Modelo de Referência: Lavatório suspenso de canto com mesa Deca L76.17, conforme projeto arquitetônico elaborado para o espaço de amamentação do CNMP</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52623B" w:rsidRPr="004003F8" w:rsidTr="00D92B80">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Tarjetas </w:t>
            </w:r>
            <w:proofErr w:type="spellStart"/>
            <w:r w:rsidRPr="004003F8">
              <w:rPr>
                <w:rFonts w:eastAsia="Times New Roman" w:cs="Times New Roman"/>
                <w:color w:val="000000"/>
                <w:lang w:eastAsia="pt-BR" w:bidi="ar-SA"/>
              </w:rPr>
              <w:t>Lockwell</w:t>
            </w:r>
            <w:proofErr w:type="spellEnd"/>
            <w:r w:rsidRPr="004003F8">
              <w:rPr>
                <w:rFonts w:eastAsia="Times New Roman" w:cs="Times New Roman"/>
                <w:color w:val="000000"/>
                <w:lang w:eastAsia="pt-BR" w:bidi="ar-SA"/>
              </w:rPr>
              <w:t xml:space="preserve"> livre/ocupado para portas com espessura de 10 a 15 mm, linha 700, cromado, para manter o padrão de furação já existente nas portas das divisórias dos banheiros do edifício.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7213F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Trena métrica profissional de 7,5 metros. Caixa com botão de trava rápida para maior controle da medição e retrocesso da fita. Ponta magnética para fixação no zero. Fita de aço revestida de nylon resistente à abrasão. </w:t>
            </w:r>
            <w:proofErr w:type="spellStart"/>
            <w:r w:rsidRPr="004003F8">
              <w:rPr>
                <w:rFonts w:eastAsia="Times New Roman" w:cs="Times New Roman"/>
                <w:color w:val="000000"/>
                <w:lang w:eastAsia="pt-BR" w:bidi="ar-SA"/>
              </w:rPr>
              <w:t>Gradução</w:t>
            </w:r>
            <w:proofErr w:type="spellEnd"/>
            <w:r w:rsidRPr="004003F8">
              <w:rPr>
                <w:rFonts w:eastAsia="Times New Roman" w:cs="Times New Roman"/>
                <w:color w:val="000000"/>
                <w:lang w:eastAsia="pt-BR" w:bidi="ar-SA"/>
              </w:rPr>
              <w:t xml:space="preserve"> no mínimo em mm e cm. Modelo de Referência: Tramontina Master Profissional - 7,5 metros - </w:t>
            </w:r>
            <w:proofErr w:type="spellStart"/>
            <w:r w:rsidRPr="004003F8">
              <w:rPr>
                <w:rFonts w:eastAsia="Times New Roman" w:cs="Times New Roman"/>
                <w:color w:val="000000"/>
                <w:lang w:eastAsia="pt-BR" w:bidi="ar-SA"/>
              </w:rPr>
              <w:t>mod</w:t>
            </w:r>
            <w:proofErr w:type="spellEnd"/>
            <w:r w:rsidRPr="004003F8">
              <w:rPr>
                <w:rFonts w:eastAsia="Times New Roman" w:cs="Times New Roman"/>
                <w:color w:val="000000"/>
                <w:lang w:eastAsia="pt-BR" w:bidi="ar-SA"/>
              </w:rPr>
              <w:t xml:space="preserve"> 43158/375,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r w:rsidR="0052623B" w:rsidRPr="004003F8" w:rsidTr="007213F6">
        <w:trPr>
          <w:trHeight w:val="13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Mangueira de Combate de a Incêndio TIPO 2 - 1.1/2" x 15m. </w:t>
            </w:r>
            <w:proofErr w:type="spellStart"/>
            <w:r w:rsidRPr="004003F8">
              <w:rPr>
                <w:rFonts w:eastAsia="Times New Roman" w:cs="Times New Roman"/>
                <w:color w:val="000000"/>
                <w:lang w:eastAsia="pt-BR" w:bidi="ar-SA"/>
              </w:rPr>
              <w:t>Ref</w:t>
            </w:r>
            <w:proofErr w:type="spellEnd"/>
            <w:r w:rsidRPr="004003F8">
              <w:rPr>
                <w:rFonts w:eastAsia="Times New Roman" w:cs="Times New Roman"/>
                <w:color w:val="000000"/>
                <w:lang w:eastAsia="pt-BR" w:bidi="ar-SA"/>
              </w:rPr>
              <w:t xml:space="preserve"> marca </w:t>
            </w:r>
            <w:proofErr w:type="spellStart"/>
            <w:r w:rsidRPr="004003F8">
              <w:rPr>
                <w:rFonts w:eastAsia="Times New Roman" w:cs="Times New Roman"/>
                <w:color w:val="000000"/>
                <w:lang w:eastAsia="pt-BR" w:bidi="ar-SA"/>
              </w:rPr>
              <w:t>Kidde</w:t>
            </w:r>
            <w:proofErr w:type="spellEnd"/>
            <w:r w:rsidRPr="004003F8">
              <w:rPr>
                <w:rFonts w:eastAsia="Times New Roman" w:cs="Times New Roman"/>
                <w:color w:val="00000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un</w:t>
            </w:r>
            <w:proofErr w:type="spellEnd"/>
          </w:p>
        </w:tc>
      </w:tr>
    </w:tbl>
    <w:p w:rsidR="0052623B" w:rsidRPr="004003F8" w:rsidRDefault="0052623B" w:rsidP="0052623B">
      <w:pPr>
        <w:pStyle w:val="PargrafodaLista"/>
        <w:ind w:left="1800"/>
        <w:rPr>
          <w:rFonts w:ascii="Times New Roman" w:hAnsi="Times New Roman" w:cs="Times New Roman"/>
          <w:bCs/>
          <w:lang w:eastAsia="hi-IN"/>
        </w:rPr>
      </w:pPr>
    </w:p>
    <w:p w:rsidR="0052623B" w:rsidRPr="004003F8" w:rsidRDefault="00D92B80" w:rsidP="0052623B">
      <w:pPr>
        <w:pStyle w:val="PargrafodaLista"/>
        <w:numPr>
          <w:ilvl w:val="3"/>
          <w:numId w:val="17"/>
        </w:numPr>
        <w:shd w:val="clear" w:color="auto" w:fill="auto"/>
        <w:autoSpaceDN w:val="0"/>
        <w:rPr>
          <w:rFonts w:ascii="Times New Roman" w:hAnsi="Times New Roman" w:cs="Times New Roman"/>
          <w:bCs/>
          <w:lang w:eastAsia="hi-IN"/>
        </w:rPr>
      </w:pPr>
      <w:r w:rsidRPr="004003F8">
        <w:rPr>
          <w:rFonts w:ascii="Times New Roman" w:hAnsi="Times New Roman" w:cs="Times New Roman"/>
          <w:bCs/>
          <w:lang w:eastAsia="hi-IN"/>
        </w:rPr>
        <w:t>LOTE 03</w:t>
      </w:r>
      <w:r w:rsidR="0052623B" w:rsidRPr="004003F8">
        <w:rPr>
          <w:rFonts w:ascii="Times New Roman" w:hAnsi="Times New Roman" w:cs="Times New Roman"/>
          <w:bCs/>
          <w:lang w:eastAsia="hi-IN"/>
        </w:rPr>
        <w:t xml:space="preserve"> - Perfis para estrutura de forro modular</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4003F8"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D92B80"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LOTE 03</w:t>
            </w:r>
            <w:r w:rsidR="0052623B" w:rsidRPr="004003F8">
              <w:rPr>
                <w:rFonts w:eastAsia="Times New Roman" w:cs="Times New Roman"/>
                <w:b/>
                <w:bCs/>
                <w:color w:val="000000"/>
                <w:lang w:eastAsia="pt-BR" w:bidi="ar-SA"/>
              </w:rPr>
              <w:t xml:space="preserve"> - Perfis para estrutura de forro modular</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Qtd</w:t>
            </w:r>
            <w:proofErr w:type="spellEnd"/>
            <w:r w:rsidRPr="004003F8">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4003F8">
              <w:rPr>
                <w:rFonts w:eastAsia="Times New Roman" w:cs="Times New Roman"/>
                <w:b/>
                <w:bCs/>
                <w:color w:val="000000"/>
                <w:lang w:eastAsia="pt-BR" w:bidi="ar-SA"/>
              </w:rPr>
              <w:t>Und</w:t>
            </w:r>
            <w:proofErr w:type="spellEnd"/>
            <w:r w:rsidRPr="004003F8">
              <w:rPr>
                <w:rFonts w:eastAsia="Times New Roman" w:cs="Times New Roman"/>
                <w:b/>
                <w:bCs/>
                <w:color w:val="000000"/>
                <w:lang w:eastAsia="pt-BR" w:bidi="ar-SA"/>
              </w:rPr>
              <w:t>.</w:t>
            </w:r>
          </w:p>
        </w:tc>
      </w:tr>
      <w:tr w:rsidR="0052623B" w:rsidRPr="004003F8"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lastRenderedPageBreak/>
              <w:t>20</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Logarina</w:t>
            </w:r>
            <w:proofErr w:type="spellEnd"/>
            <w:r w:rsidRPr="004003F8">
              <w:rPr>
                <w:rFonts w:eastAsia="Times New Roman" w:cs="Times New Roman"/>
                <w:color w:val="000000"/>
                <w:lang w:eastAsia="pt-BR" w:bidi="ar-SA"/>
              </w:rPr>
              <w:t xml:space="preserve"> (secundária) Perfil metálico T clicado para forro modular 24mmx1250mm,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Logarina</w:t>
            </w:r>
            <w:proofErr w:type="spellEnd"/>
            <w:r w:rsidRPr="004003F8">
              <w:rPr>
                <w:rFonts w:eastAsia="Times New Roman" w:cs="Times New Roman"/>
                <w:color w:val="000000"/>
                <w:lang w:eastAsia="pt-BR" w:bidi="ar-SA"/>
              </w:rPr>
              <w:t xml:space="preserve"> (secundária) Perfil metálico T clicado para forro modular 24mmx625mm,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r w:rsidR="0052623B" w:rsidRPr="004003F8"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4003F8" w:rsidRDefault="00D92B80"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both"/>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Logarina</w:t>
            </w:r>
            <w:proofErr w:type="spellEnd"/>
            <w:r w:rsidRPr="004003F8">
              <w:rPr>
                <w:rFonts w:eastAsia="Times New Roman" w:cs="Times New Roman"/>
                <w:color w:val="000000"/>
                <w:lang w:eastAsia="pt-BR" w:bidi="ar-SA"/>
              </w:rPr>
              <w:t xml:space="preserve"> (primária) Perfil metálico T clicado para forro modular 24mmx3125mm,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un.</w:t>
            </w:r>
          </w:p>
        </w:tc>
      </w:tr>
    </w:tbl>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numPr>
          <w:ilvl w:val="3"/>
          <w:numId w:val="17"/>
        </w:numPr>
        <w:shd w:val="clear" w:color="auto" w:fill="auto"/>
        <w:tabs>
          <w:tab w:val="left" w:pos="-8640"/>
          <w:tab w:val="left" w:pos="-7391"/>
          <w:tab w:val="left" w:pos="-6682"/>
        </w:tabs>
        <w:autoSpaceDN w:val="0"/>
        <w:snapToGrid w:val="0"/>
        <w:spacing w:before="57" w:after="57" w:line="360" w:lineRule="auto"/>
        <w:jc w:val="both"/>
        <w:rPr>
          <w:rFonts w:cs="Times New Roman"/>
          <w:bCs/>
          <w:lang w:eastAsia="hi-IN"/>
        </w:rPr>
      </w:pPr>
      <w:r w:rsidRPr="004003F8">
        <w:rPr>
          <w:rFonts w:cs="Times New Roman"/>
          <w:bCs/>
          <w:lang w:eastAsia="hi-IN"/>
        </w:rPr>
        <w:t>Item específico: Aquisição de porta para adequação de acessibilidade.</w:t>
      </w:r>
    </w:p>
    <w:tbl>
      <w:tblPr>
        <w:tblW w:w="9645" w:type="dxa"/>
        <w:tblLayout w:type="fixed"/>
        <w:tblCellMar>
          <w:left w:w="10" w:type="dxa"/>
          <w:right w:w="10" w:type="dxa"/>
        </w:tblCellMar>
        <w:tblLook w:val="04A0" w:firstRow="1" w:lastRow="0" w:firstColumn="1" w:lastColumn="0" w:noHBand="0" w:noVBand="1"/>
      </w:tblPr>
      <w:tblGrid>
        <w:gridCol w:w="780"/>
        <w:gridCol w:w="7560"/>
        <w:gridCol w:w="705"/>
        <w:gridCol w:w="600"/>
      </w:tblGrid>
      <w:tr w:rsidR="0052623B" w:rsidRPr="004003F8" w:rsidTr="007213F6">
        <w:tc>
          <w:tcPr>
            <w:tcW w:w="7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4003F8" w:rsidRDefault="0052623B" w:rsidP="007213F6">
            <w:pPr>
              <w:pStyle w:val="TableContents"/>
              <w:jc w:val="center"/>
              <w:rPr>
                <w:rFonts w:ascii="Times New Roman" w:hAnsi="Times New Roman" w:cs="Times New Roman"/>
                <w:b/>
                <w:bCs/>
                <w:shd w:val="clear" w:color="auto" w:fill="CCCCCC"/>
              </w:rPr>
            </w:pPr>
            <w:r w:rsidRPr="004003F8">
              <w:rPr>
                <w:rFonts w:ascii="Times New Roman" w:hAnsi="Times New Roman" w:cs="Times New Roman"/>
                <w:b/>
                <w:bCs/>
                <w:shd w:val="clear" w:color="auto" w:fill="CCCCCC"/>
              </w:rPr>
              <w:t>Item</w:t>
            </w:r>
          </w:p>
        </w:tc>
        <w:tc>
          <w:tcPr>
            <w:tcW w:w="756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4003F8" w:rsidRDefault="0052623B" w:rsidP="007213F6">
            <w:pPr>
              <w:pStyle w:val="TableContents"/>
              <w:jc w:val="center"/>
              <w:rPr>
                <w:rFonts w:ascii="Times New Roman" w:hAnsi="Times New Roman" w:cs="Times New Roman"/>
                <w:b/>
                <w:bCs/>
                <w:shd w:val="clear" w:color="auto" w:fill="CCCCCC"/>
              </w:rPr>
            </w:pPr>
            <w:r w:rsidRPr="004003F8">
              <w:rPr>
                <w:rFonts w:ascii="Times New Roman" w:hAnsi="Times New Roman" w:cs="Times New Roman"/>
                <w:b/>
                <w:bCs/>
                <w:shd w:val="clear" w:color="auto" w:fill="CCCCCC"/>
              </w:rPr>
              <w:t>ITEM - Portas de divisória naval com maçaneta tipo alavanca.</w:t>
            </w:r>
          </w:p>
        </w:tc>
        <w:tc>
          <w:tcPr>
            <w:tcW w:w="70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4003F8" w:rsidRDefault="0052623B" w:rsidP="007213F6">
            <w:pPr>
              <w:pStyle w:val="TableContents"/>
              <w:jc w:val="center"/>
              <w:rPr>
                <w:rFonts w:ascii="Times New Roman" w:hAnsi="Times New Roman" w:cs="Times New Roman"/>
                <w:b/>
                <w:bCs/>
                <w:shd w:val="clear" w:color="auto" w:fill="CCCCCC"/>
              </w:rPr>
            </w:pPr>
            <w:proofErr w:type="spellStart"/>
            <w:r w:rsidRPr="004003F8">
              <w:rPr>
                <w:rFonts w:ascii="Times New Roman" w:hAnsi="Times New Roman" w:cs="Times New Roman"/>
                <w:b/>
                <w:bCs/>
                <w:shd w:val="clear" w:color="auto" w:fill="CCCCCC"/>
              </w:rPr>
              <w:t>Qtd</w:t>
            </w:r>
            <w:proofErr w:type="spellEnd"/>
            <w:r w:rsidRPr="004003F8">
              <w:rPr>
                <w:rFonts w:ascii="Times New Roman" w:hAnsi="Times New Roman" w:cs="Times New Roman"/>
                <w:b/>
                <w:bCs/>
                <w:shd w:val="clear" w:color="auto" w:fill="CCCCCC"/>
              </w:rPr>
              <w:t>.</w:t>
            </w:r>
          </w:p>
        </w:tc>
        <w:tc>
          <w:tcPr>
            <w:tcW w:w="60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4003F8" w:rsidRDefault="0052623B" w:rsidP="007213F6">
            <w:pPr>
              <w:pStyle w:val="TableContents"/>
              <w:jc w:val="center"/>
              <w:rPr>
                <w:rFonts w:ascii="Times New Roman" w:hAnsi="Times New Roman" w:cs="Times New Roman"/>
                <w:b/>
                <w:bCs/>
                <w:shd w:val="clear" w:color="auto" w:fill="CCCCCC"/>
              </w:rPr>
            </w:pPr>
            <w:proofErr w:type="spellStart"/>
            <w:r w:rsidRPr="004003F8">
              <w:rPr>
                <w:rFonts w:ascii="Times New Roman" w:hAnsi="Times New Roman" w:cs="Times New Roman"/>
                <w:b/>
                <w:bCs/>
                <w:shd w:val="clear" w:color="auto" w:fill="CCCCCC"/>
              </w:rPr>
              <w:t>Und</w:t>
            </w:r>
            <w:proofErr w:type="spellEnd"/>
            <w:r w:rsidRPr="004003F8">
              <w:rPr>
                <w:rFonts w:ascii="Times New Roman" w:hAnsi="Times New Roman" w:cs="Times New Roman"/>
                <w:b/>
                <w:bCs/>
                <w:shd w:val="clear" w:color="auto" w:fill="CCCCCC"/>
              </w:rPr>
              <w:t>.</w:t>
            </w:r>
          </w:p>
        </w:tc>
      </w:tr>
      <w:tr w:rsidR="0052623B" w:rsidRPr="004003F8" w:rsidTr="007213F6">
        <w:tc>
          <w:tcPr>
            <w:tcW w:w="7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623B" w:rsidRPr="004003F8" w:rsidRDefault="00D92B80" w:rsidP="007213F6">
            <w:pPr>
              <w:pStyle w:val="TableContents"/>
              <w:jc w:val="center"/>
              <w:rPr>
                <w:rFonts w:ascii="Times New Roman" w:hAnsi="Times New Roman" w:cs="Times New Roman"/>
              </w:rPr>
            </w:pPr>
            <w:r w:rsidRPr="004003F8">
              <w:rPr>
                <w:rFonts w:ascii="Times New Roman" w:hAnsi="Times New Roman" w:cs="Times New Roman"/>
              </w:rPr>
              <w:t>23</w:t>
            </w:r>
          </w:p>
        </w:tc>
        <w:tc>
          <w:tcPr>
            <w:tcW w:w="7560" w:type="dxa"/>
            <w:tcBorders>
              <w:left w:val="single" w:sz="2" w:space="0" w:color="000000"/>
              <w:bottom w:val="single" w:sz="4" w:space="0" w:color="auto"/>
            </w:tcBorders>
            <w:shd w:val="clear" w:color="auto" w:fill="auto"/>
            <w:tcMar>
              <w:top w:w="55" w:type="dxa"/>
              <w:left w:w="55" w:type="dxa"/>
              <w:bottom w:w="55" w:type="dxa"/>
              <w:right w:w="55" w:type="dxa"/>
            </w:tcMar>
          </w:tcPr>
          <w:p w:rsidR="0052623B" w:rsidRPr="004003F8" w:rsidRDefault="0052623B" w:rsidP="007213F6">
            <w:pPr>
              <w:pStyle w:val="Standard"/>
              <w:jc w:val="both"/>
              <w:rPr>
                <w:rFonts w:ascii="Times New Roman" w:hAnsi="Times New Roman" w:cs="Times New Roman"/>
              </w:rPr>
            </w:pPr>
            <w:r w:rsidRPr="004003F8">
              <w:rPr>
                <w:rFonts w:ascii="Times New Roman" w:hAnsi="Times New Roman" w:cs="Times New Roman"/>
              </w:rPr>
              <w:t xml:space="preserve">Porta de divisória naval, com dimensões aproximadas de 80cm de largura por 210cm de altura e 35mm de espessura, </w:t>
            </w:r>
            <w:proofErr w:type="spellStart"/>
            <w:r w:rsidRPr="004003F8">
              <w:rPr>
                <w:rFonts w:ascii="Times New Roman" w:hAnsi="Times New Roman" w:cs="Times New Roman"/>
              </w:rPr>
              <w:t>contraplacadas</w:t>
            </w:r>
            <w:proofErr w:type="spellEnd"/>
            <w:r w:rsidRPr="004003F8">
              <w:rPr>
                <w:rFonts w:ascii="Times New Roman" w:hAnsi="Times New Roman" w:cs="Times New Roman"/>
              </w:rPr>
              <w:t xml:space="preserve"> em ambas as faces por chapa de fibra de madeira prensada com acabamento em laminado </w:t>
            </w:r>
            <w:proofErr w:type="spellStart"/>
            <w:r w:rsidRPr="004003F8">
              <w:rPr>
                <w:rFonts w:ascii="Times New Roman" w:hAnsi="Times New Roman" w:cs="Times New Roman"/>
              </w:rPr>
              <w:t>melamínico</w:t>
            </w:r>
            <w:proofErr w:type="spellEnd"/>
            <w:r w:rsidRPr="004003F8">
              <w:rPr>
                <w:rFonts w:ascii="Times New Roman" w:hAnsi="Times New Roman" w:cs="Times New Roman"/>
              </w:rPr>
              <w:t xml:space="preserve"> com pintura </w:t>
            </w:r>
            <w:proofErr w:type="spellStart"/>
            <w:r w:rsidRPr="004003F8">
              <w:rPr>
                <w:rFonts w:ascii="Times New Roman" w:hAnsi="Times New Roman" w:cs="Times New Roman"/>
              </w:rPr>
              <w:t>alquídica</w:t>
            </w:r>
            <w:proofErr w:type="spellEnd"/>
            <w:r w:rsidRPr="004003F8">
              <w:rPr>
                <w:rFonts w:ascii="Times New Roman" w:hAnsi="Times New Roman" w:cs="Times New Roman"/>
              </w:rPr>
              <w:t xml:space="preserve"> na cor cinza cristal, </w:t>
            </w:r>
            <w:proofErr w:type="spellStart"/>
            <w:r w:rsidRPr="004003F8">
              <w:rPr>
                <w:rFonts w:ascii="Times New Roman" w:hAnsi="Times New Roman" w:cs="Times New Roman"/>
              </w:rPr>
              <w:t>requadradas</w:t>
            </w:r>
            <w:proofErr w:type="spellEnd"/>
            <w:r w:rsidRPr="004003F8">
              <w:rPr>
                <w:rFonts w:ascii="Times New Roman" w:hAnsi="Times New Roman" w:cs="Times New Roman"/>
              </w:rPr>
              <w:t xml:space="preserve"> em todo perímetro com madeira maciça seca e desempenada, encabeçadas em aço galvanizado com pintura eletrostática epóxi poliéster. Deverão possuir fechadura com maçaneta tipo alavanca, confeccionada em aço inox (testa e </w:t>
            </w:r>
            <w:proofErr w:type="spellStart"/>
            <w:r w:rsidRPr="004003F8">
              <w:rPr>
                <w:rFonts w:ascii="Times New Roman" w:hAnsi="Times New Roman" w:cs="Times New Roman"/>
              </w:rPr>
              <w:t>contra-testa</w:t>
            </w:r>
            <w:proofErr w:type="spellEnd"/>
            <w:r w:rsidRPr="004003F8">
              <w:rPr>
                <w:rFonts w:ascii="Times New Roman" w:hAnsi="Times New Roman" w:cs="Times New Roman"/>
              </w:rPr>
              <w:t xml:space="preserve">) e </w:t>
            </w:r>
            <w:proofErr w:type="spellStart"/>
            <w:r w:rsidRPr="004003F8">
              <w:rPr>
                <w:rFonts w:ascii="Times New Roman" w:hAnsi="Times New Roman" w:cs="Times New Roman"/>
              </w:rPr>
              <w:t>zamac</w:t>
            </w:r>
            <w:proofErr w:type="spellEnd"/>
            <w:r w:rsidRPr="004003F8">
              <w:rPr>
                <w:rFonts w:ascii="Times New Roman" w:hAnsi="Times New Roman" w:cs="Times New Roman"/>
              </w:rPr>
              <w:t xml:space="preserve"> (maçaneta, lingueta e cilindro) e acabamento cromado. Distância mínima da broca de 40mm, referência PAPAIZ ou equivalente (para sanitários acessíveis). As medidas de cada uma das unidades deverão ser confirmadas "in loco" antes da confecção e entrega.</w:t>
            </w:r>
          </w:p>
        </w:tc>
        <w:tc>
          <w:tcPr>
            <w:tcW w:w="70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623B" w:rsidRPr="004003F8" w:rsidRDefault="0052623B" w:rsidP="007213F6">
            <w:pPr>
              <w:pStyle w:val="TableContents"/>
              <w:jc w:val="center"/>
              <w:rPr>
                <w:rFonts w:ascii="Times New Roman" w:hAnsi="Times New Roman" w:cs="Times New Roman"/>
              </w:rPr>
            </w:pPr>
            <w:r w:rsidRPr="004003F8">
              <w:rPr>
                <w:rFonts w:ascii="Times New Roman" w:hAnsi="Times New Roman" w:cs="Times New Roman"/>
              </w:rPr>
              <w:t>4</w:t>
            </w:r>
          </w:p>
        </w:tc>
        <w:tc>
          <w:tcPr>
            <w:tcW w:w="60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52623B" w:rsidRPr="004003F8" w:rsidRDefault="0052623B" w:rsidP="007213F6">
            <w:pPr>
              <w:pStyle w:val="TableContents"/>
              <w:jc w:val="center"/>
              <w:rPr>
                <w:rFonts w:ascii="Times New Roman" w:hAnsi="Times New Roman" w:cs="Times New Roman"/>
              </w:rPr>
            </w:pPr>
            <w:proofErr w:type="spellStart"/>
            <w:r w:rsidRPr="004003F8">
              <w:rPr>
                <w:rFonts w:ascii="Times New Roman" w:hAnsi="Times New Roman" w:cs="Times New Roman"/>
              </w:rPr>
              <w:t>un</w:t>
            </w:r>
            <w:proofErr w:type="spellEnd"/>
          </w:p>
        </w:tc>
      </w:tr>
    </w:tbl>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4003F8">
        <w:rPr>
          <w:rFonts w:cs="Times New Roman"/>
          <w:b/>
        </w:rPr>
        <w:t>Condições de Sustentabilidade</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4003F8">
        <w:rPr>
          <w:rFonts w:cs="Times New Roman"/>
          <w:b/>
        </w:rPr>
        <w:t>Vistoria</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52623B" w:rsidRPr="004003F8"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A licitante poderá agendar a vistoria junto ao Conselho Nacional do Ministério Público, por meio do telefone (0XX61) 3366-9131 das 9h00 às 17h00, junto à Coordenaria de Engenharia;</w:t>
      </w:r>
    </w:p>
    <w:p w:rsidR="0052623B" w:rsidRPr="004003F8"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Pr="004003F8" w:rsidRDefault="0052623B" w:rsidP="0052623B">
      <w:pPr>
        <w:pStyle w:val="Standard"/>
        <w:jc w:val="both"/>
        <w:rPr>
          <w:rFonts w:ascii="Times New Roman" w:hAnsi="Times New Roman" w:cs="Times New Roman"/>
          <w:b/>
          <w:bCs/>
        </w:rPr>
      </w:pPr>
    </w:p>
    <w:p w:rsidR="0052623B" w:rsidRPr="004003F8"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4003F8">
        <w:rPr>
          <w:rFonts w:cs="Times New Roman"/>
          <w:b/>
        </w:rPr>
        <w:t>Adequação Orçamentária</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Os recursos dessa contratação estão consignados no orçamento da União para 2019 no Programa 03.032.2100.8010, Ação 8010 - Atuação Estratégica para Controle e Fortalecimento do Ministério Público, Fonte 0100000000; PTRES 110389 e Plano Interno 8010SA, Fonte 0100, Elemento Contábil 3.3.9.0.30 – Material de consumo, conforme detalhamento apresentado a seguir:</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4003F8" w:rsidTr="007213F6">
        <w:trPr>
          <w:trHeight w:val="300"/>
        </w:trPr>
        <w:tc>
          <w:tcPr>
            <w:tcW w:w="720" w:type="dxa"/>
            <w:tcBorders>
              <w:top w:val="nil"/>
              <w:left w:val="nil"/>
              <w:bottom w:val="nil"/>
              <w:right w:val="nil"/>
            </w:tcBorders>
            <w:shd w:val="clear" w:color="auto" w:fill="auto"/>
            <w:noWrap/>
            <w:vAlign w:val="bottom"/>
            <w:hideMark/>
          </w:tcPr>
          <w:p w:rsidR="0052623B" w:rsidRPr="004003F8"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4003F8"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4003F8" w:rsidRDefault="0052623B" w:rsidP="007213F6">
            <w:pPr>
              <w:widowControl/>
              <w:suppressAutoHyphens w:val="0"/>
              <w:textAlignment w:val="auto"/>
              <w:rPr>
                <w:rFonts w:eastAsia="Times New Roman" w:cs="Times New Roman"/>
                <w:lang w:eastAsia="pt-BR" w:bidi="ar-SA"/>
              </w:rPr>
            </w:pPr>
          </w:p>
        </w:tc>
      </w:tr>
      <w:tr w:rsidR="0052623B" w:rsidRPr="004003F8"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02BB7"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LOTE 01</w:t>
            </w:r>
            <w:r w:rsidR="0052623B" w:rsidRPr="004003F8">
              <w:rPr>
                <w:rFonts w:eastAsia="Times New Roman" w:cs="Times New Roman"/>
                <w:b/>
                <w:bCs/>
                <w:color w:val="000000"/>
                <w:lang w:eastAsia="pt-BR" w:bidi="ar-SA"/>
              </w:rPr>
              <w:t xml:space="preserve"> - Material de infraestrutura predial diversos e de acabamento</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4003F8" w:rsidRDefault="0052623B" w:rsidP="007213F6">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Elemento de Despesa</w:t>
            </w:r>
          </w:p>
        </w:tc>
      </w:tr>
      <w:tr w:rsidR="00502BB7" w:rsidRPr="004003F8" w:rsidTr="00502BB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lastRenderedPageBreak/>
              <w:t>1</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Mão francesa em metal 40 cm reforçada cor branca com parafusos de fixação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Chumbador mecânico expansivo </w:t>
            </w:r>
            <w:proofErr w:type="spellStart"/>
            <w:r w:rsidRPr="004003F8">
              <w:rPr>
                <w:rFonts w:eastAsia="Times New Roman" w:cs="Times New Roman"/>
                <w:color w:val="000000"/>
                <w:lang w:eastAsia="pt-BR" w:bidi="ar-SA"/>
              </w:rPr>
              <w:t>Parabolt</w:t>
            </w:r>
            <w:proofErr w:type="spellEnd"/>
            <w:r w:rsidRPr="004003F8">
              <w:rPr>
                <w:rFonts w:eastAsia="Times New Roman" w:cs="Times New Roman"/>
                <w:color w:val="000000"/>
                <w:lang w:eastAsia="pt-BR" w:bidi="ar-SA"/>
              </w:rPr>
              <w:t xml:space="preserve"> com jaqueta 6 mm x 50mm completo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Chumbador mecânico expansivo </w:t>
            </w:r>
            <w:proofErr w:type="spellStart"/>
            <w:r w:rsidRPr="004003F8">
              <w:rPr>
                <w:rFonts w:eastAsia="Times New Roman" w:cs="Times New Roman"/>
                <w:color w:val="000000"/>
                <w:lang w:eastAsia="pt-BR" w:bidi="ar-SA"/>
              </w:rPr>
              <w:t>Parabolt</w:t>
            </w:r>
            <w:proofErr w:type="spellEnd"/>
            <w:r w:rsidRPr="004003F8">
              <w:rPr>
                <w:rFonts w:eastAsia="Times New Roman" w:cs="Times New Roman"/>
                <w:color w:val="000000"/>
                <w:lang w:eastAsia="pt-BR" w:bidi="ar-SA"/>
              </w:rPr>
              <w:t xml:space="preserve"> com jaqueta 8mm </w:t>
            </w:r>
            <w:proofErr w:type="gramStart"/>
            <w:r w:rsidRPr="004003F8">
              <w:rPr>
                <w:rFonts w:eastAsia="Times New Roman" w:cs="Times New Roman"/>
                <w:color w:val="000000"/>
                <w:lang w:eastAsia="pt-BR" w:bidi="ar-SA"/>
              </w:rPr>
              <w:t>x  50</w:t>
            </w:r>
            <w:proofErr w:type="gramEnd"/>
            <w:r w:rsidRPr="004003F8">
              <w:rPr>
                <w:rFonts w:eastAsia="Times New Roman" w:cs="Times New Roman"/>
                <w:color w:val="000000"/>
                <w:lang w:eastAsia="pt-BR" w:bidi="ar-SA"/>
              </w:rPr>
              <w:t>mm completo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Abraçadeira de nylon para amarração nas medidas 100x2,5mm, Tensão mínima de ruptura de 8kgf na cor preta Mod. Referência: </w:t>
            </w:r>
            <w:proofErr w:type="spellStart"/>
            <w:r w:rsidRPr="004003F8">
              <w:rPr>
                <w:rFonts w:eastAsia="Times New Roman" w:cs="Times New Roman"/>
                <w:color w:val="000000"/>
                <w:lang w:eastAsia="pt-BR" w:bidi="ar-SA"/>
              </w:rPr>
              <w:t>Hellermann</w:t>
            </w:r>
            <w:proofErr w:type="spellEnd"/>
            <w:r w:rsidRPr="004003F8">
              <w:rPr>
                <w:rFonts w:eastAsia="Times New Roman" w:cs="Times New Roman"/>
                <w:color w:val="000000"/>
                <w:lang w:eastAsia="pt-BR" w:bidi="ar-SA"/>
              </w:rPr>
              <w:t xml:space="preserve"> T18. Pacote com 100 unidades</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Abraçadeira de nylon para amarração nas medidas 240x2,8mm, Tensão mínima de ruptura de 11kgf na cor preta Mod. Referência: </w:t>
            </w:r>
            <w:proofErr w:type="spellStart"/>
            <w:r w:rsidRPr="004003F8">
              <w:rPr>
                <w:rFonts w:eastAsia="Times New Roman" w:cs="Times New Roman"/>
                <w:color w:val="000000"/>
                <w:lang w:eastAsia="pt-BR" w:bidi="ar-SA"/>
              </w:rPr>
              <w:t>Hellermann</w:t>
            </w:r>
            <w:proofErr w:type="spellEnd"/>
            <w:r w:rsidRPr="004003F8">
              <w:rPr>
                <w:rFonts w:eastAsia="Times New Roman" w:cs="Times New Roman"/>
                <w:color w:val="000000"/>
                <w:lang w:eastAsia="pt-BR" w:bidi="ar-SA"/>
              </w:rPr>
              <w:t xml:space="preserve"> T25. Pacote com 100 unidades</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Abraçadeira de nylon para amarração nas medidas 390x8,9mm, Tensão mínima de ruptura de 68kgf na cor preta Mod. Referência: </w:t>
            </w:r>
            <w:proofErr w:type="spellStart"/>
            <w:r w:rsidRPr="004003F8">
              <w:rPr>
                <w:rFonts w:eastAsia="Times New Roman" w:cs="Times New Roman"/>
                <w:color w:val="000000"/>
                <w:lang w:eastAsia="pt-BR" w:bidi="ar-SA"/>
              </w:rPr>
              <w:t>Hellermann</w:t>
            </w:r>
            <w:proofErr w:type="spellEnd"/>
            <w:r w:rsidRPr="004003F8">
              <w:rPr>
                <w:rFonts w:eastAsia="Times New Roman" w:cs="Times New Roman"/>
                <w:color w:val="000000"/>
                <w:lang w:eastAsia="pt-BR" w:bidi="ar-SA"/>
              </w:rPr>
              <w:t xml:space="preserve"> T150. Pacote com 100 unidades</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Parafuso Philips Cabeça Panela S-6 e bucha plástica com aba S-6, pacote com 100 unidades</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Parafuso Philips Cabeça Panela S-8 e bucha plástica com aba S-8, pacote com 100 unidades</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pStyle w:val="LO-Normal1"/>
              <w:widowControl/>
              <w:spacing w:line="276" w:lineRule="auto"/>
              <w:jc w:val="center"/>
              <w:textAlignment w:val="auto"/>
              <w:rPr>
                <w:rFonts w:ascii="Times New Roman" w:hAnsi="Times New Roman" w:cs="Times New Roman"/>
                <w:lang w:eastAsia="en-US" w:bidi="ar-SA"/>
              </w:rPr>
            </w:pPr>
            <w:r w:rsidRPr="004003F8">
              <w:rPr>
                <w:rFonts w:ascii="Times New Roman" w:hAnsi="Times New Roman" w:cs="Times New Roman"/>
                <w:lang w:eastAsia="en-US"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Parafuso Philips Cabeça Panela S-10 e bucha plástica com aba S-10, pacote com 100 unidades</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7213F6">
        <w:trPr>
          <w:trHeight w:val="300"/>
        </w:trPr>
        <w:tc>
          <w:tcPr>
            <w:tcW w:w="72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p>
        </w:tc>
        <w:tc>
          <w:tcPr>
            <w:tcW w:w="706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02BB7" w:rsidRPr="004003F8" w:rsidRDefault="00502BB7" w:rsidP="00502BB7">
            <w:pPr>
              <w:widowControl/>
              <w:suppressAutoHyphens w:val="0"/>
              <w:jc w:val="both"/>
              <w:textAlignment w:val="auto"/>
              <w:rPr>
                <w:rFonts w:eastAsia="Times New Roman" w:cs="Times New Roman"/>
                <w:lang w:eastAsia="pt-BR" w:bidi="ar-SA"/>
              </w:rPr>
            </w:pPr>
          </w:p>
        </w:tc>
      </w:tr>
      <w:tr w:rsidR="00502BB7" w:rsidRPr="004003F8"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LOTE 02 - Ferragens e fechaduras para portas</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Elemento de Despesa</w:t>
            </w:r>
          </w:p>
        </w:tc>
      </w:tr>
      <w:tr w:rsidR="00502BB7" w:rsidRPr="004003F8"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de fechadura de porta externa 1300, com entrada, roseta, falsa contra testa e contra testa em aço inox, composta por cilindro e maçaneta em ZAMAC, com distância broca de 40mm, em acabamento cromado, com chave. Referência: IMAB DUNA Cj8769E13CR00k.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Conjunto de fechadura de porta de banheiro 1300, com roseta, falsa contra testa e contra testa em aço inox, composta por maçaneta em ZAMAC, com distância broca de 40mm, em acabamento cromado. Referência: IMAB DUNA Cj8769E13CR00.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7213F6">
        <w:trPr>
          <w:trHeight w:val="300"/>
        </w:trPr>
        <w:tc>
          <w:tcPr>
            <w:tcW w:w="72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p>
        </w:tc>
        <w:tc>
          <w:tcPr>
            <w:tcW w:w="706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02BB7" w:rsidRPr="004003F8" w:rsidRDefault="00502BB7" w:rsidP="00502BB7">
            <w:pPr>
              <w:widowControl/>
              <w:suppressAutoHyphens w:val="0"/>
              <w:jc w:val="both"/>
              <w:textAlignment w:val="auto"/>
              <w:rPr>
                <w:rFonts w:eastAsia="Times New Roman" w:cs="Times New Roman"/>
                <w:lang w:eastAsia="pt-BR" w:bidi="ar-SA"/>
              </w:rPr>
            </w:pPr>
          </w:p>
        </w:tc>
      </w:tr>
      <w:tr w:rsidR="00502BB7" w:rsidRPr="004003F8"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ITENS Específicos de infraestrutura predial e acabamento</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Elemento de Despesa</w:t>
            </w:r>
          </w:p>
        </w:tc>
      </w:tr>
      <w:tr w:rsidR="00502BB7" w:rsidRPr="004003F8" w:rsidTr="00502BB7">
        <w:trPr>
          <w:trHeight w:val="153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lastRenderedPageBreak/>
              <w:t>12</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Dobradiça com mola (dispositivo de fechamento automático) para porta corta fogo, conforme padrão adotado na edificação, atendendo as especificações da ABNT NBR 11.742:2003 e dos requisitos da ABNT NBR 13768:1997; confeccionadas em aço-carbono do tipo ABNT 1010/1020; dimensão de 100 mm (4") ao longo do eixo; fornecida completa, incluindo abas, eixo, cabeças, mola, carretéis, dispositivo de regulagem da mola (pinos de regulagem).</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Mola para porta com duas válvulas independentes, com controle de velocidade independente do ângulo de 180º a 20º e outro para fechamento final de 20º a 0º, permitindo a instalação em portas à esquerda ou à direita. Tempo de fechamento variável. Referência </w:t>
            </w:r>
            <w:proofErr w:type="spellStart"/>
            <w:r w:rsidRPr="004003F8">
              <w:rPr>
                <w:rFonts w:eastAsia="Times New Roman" w:cs="Times New Roman"/>
                <w:color w:val="000000"/>
                <w:lang w:eastAsia="pt-BR" w:bidi="ar-SA"/>
              </w:rPr>
              <w:t>Dorma</w:t>
            </w:r>
            <w:proofErr w:type="spellEnd"/>
            <w:r w:rsidRPr="004003F8">
              <w:rPr>
                <w:rFonts w:eastAsia="Times New Roman" w:cs="Times New Roman"/>
                <w:color w:val="000000"/>
                <w:lang w:eastAsia="pt-BR" w:bidi="ar-SA"/>
              </w:rPr>
              <w:t xml:space="preserve"> MA200/2, Soprano 302 ou </w:t>
            </w:r>
            <w:proofErr w:type="spellStart"/>
            <w:r w:rsidRPr="004003F8">
              <w:rPr>
                <w:rFonts w:eastAsia="Times New Roman" w:cs="Times New Roman"/>
                <w:color w:val="000000"/>
                <w:lang w:eastAsia="pt-BR" w:bidi="ar-SA"/>
              </w:rPr>
              <w:t>Hafele</w:t>
            </w:r>
            <w:proofErr w:type="spellEnd"/>
            <w:r w:rsidRPr="004003F8">
              <w:rPr>
                <w:rFonts w:eastAsia="Times New Roman" w:cs="Times New Roman"/>
                <w:color w:val="000000"/>
                <w:lang w:eastAsia="pt-BR" w:bidi="ar-SA"/>
              </w:rPr>
              <w:t xml:space="preserve"> DCL11 P-2</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Fechadura de sobrepor para porta corta-fogo, com chave pelo lado externo com abertura para dentro do recinto. Referência: Fabricante Metalúrgica JVS, modelo 004Dg – Conforme padrão da porta corta-fogo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Fechadura de sobrepor para porta corta-fogo, com maçanetas livres. Referência: Fabricante Metalúrgica JVS, modelo 003 – Conforme padrão da porta corta-fogo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153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Lavatório em cerâmica suspenso: Lavatório de canto suspenso redondo com mesa, com acabamento esmaltado branco. Deve acompanhar kit de fixação para a instalação. Dimensões: 49,5x49,5cmx17cm (</w:t>
            </w:r>
            <w:proofErr w:type="spellStart"/>
            <w:r w:rsidRPr="004003F8">
              <w:rPr>
                <w:rFonts w:eastAsia="Times New Roman" w:cs="Times New Roman"/>
                <w:color w:val="000000"/>
                <w:lang w:eastAsia="pt-BR" w:bidi="ar-SA"/>
              </w:rPr>
              <w:t>LxPxA</w:t>
            </w:r>
            <w:proofErr w:type="spellEnd"/>
            <w:r w:rsidRPr="004003F8">
              <w:rPr>
                <w:rFonts w:eastAsia="Times New Roman" w:cs="Times New Roman"/>
                <w:color w:val="000000"/>
                <w:lang w:eastAsia="pt-BR" w:bidi="ar-SA"/>
              </w:rPr>
              <w:t>).  1.1.4.2 Modelo de Referência: Lavatório suspenso de canto com mesa Deca L76.17, conforme projeto arquitetônico elaborado para o espaço de amamentação do CNMP</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C6708B" w:rsidRDefault="00502BB7" w:rsidP="00502BB7">
            <w:pPr>
              <w:widowControl/>
              <w:suppressAutoHyphens w:val="0"/>
              <w:jc w:val="center"/>
              <w:textAlignment w:val="auto"/>
              <w:rPr>
                <w:rFonts w:eastAsia="Times New Roman" w:cs="Times New Roman"/>
                <w:b/>
                <w:color w:val="000000"/>
                <w:lang w:eastAsia="pt-BR" w:bidi="ar-SA"/>
              </w:rPr>
            </w:pPr>
            <w:r w:rsidRPr="00C6708B">
              <w:rPr>
                <w:rFonts w:eastAsia="Times New Roman" w:cs="Times New Roman"/>
                <w:b/>
                <w:color w:val="000000"/>
                <w:lang w:eastAsia="pt-BR" w:bidi="ar-SA"/>
              </w:rPr>
              <w:t>3.3.90.30.24</w:t>
            </w:r>
          </w:p>
        </w:tc>
      </w:tr>
      <w:tr w:rsidR="00502BB7" w:rsidRPr="004003F8" w:rsidTr="00502BB7">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Tarjetas </w:t>
            </w:r>
            <w:proofErr w:type="spellStart"/>
            <w:r w:rsidRPr="004003F8">
              <w:rPr>
                <w:rFonts w:eastAsia="Times New Roman" w:cs="Times New Roman"/>
                <w:color w:val="000000"/>
                <w:lang w:eastAsia="pt-BR" w:bidi="ar-SA"/>
              </w:rPr>
              <w:t>Lockwell</w:t>
            </w:r>
            <w:proofErr w:type="spellEnd"/>
            <w:r w:rsidRPr="004003F8">
              <w:rPr>
                <w:rFonts w:eastAsia="Times New Roman" w:cs="Times New Roman"/>
                <w:color w:val="000000"/>
                <w:lang w:eastAsia="pt-BR" w:bidi="ar-SA"/>
              </w:rPr>
              <w:t xml:space="preserve"> livre/ocupado para portas com espessura de 10 a 15 mm, linha 700, cromado, para manter o padrão de furação já existente nas portas das divisórias dos banheiros do edifício.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C6708B" w:rsidRDefault="00502BB7" w:rsidP="00502BB7">
            <w:pPr>
              <w:widowControl/>
              <w:suppressAutoHyphens w:val="0"/>
              <w:jc w:val="center"/>
              <w:textAlignment w:val="auto"/>
              <w:rPr>
                <w:rFonts w:eastAsia="Times New Roman" w:cs="Times New Roman"/>
                <w:b/>
                <w:color w:val="000000"/>
                <w:lang w:eastAsia="pt-BR" w:bidi="ar-SA"/>
              </w:rPr>
            </w:pPr>
            <w:r w:rsidRPr="00C6708B">
              <w:rPr>
                <w:rFonts w:eastAsia="Times New Roman" w:cs="Times New Roman"/>
                <w:b/>
                <w:color w:val="000000"/>
                <w:lang w:eastAsia="pt-BR" w:bidi="ar-SA"/>
              </w:rPr>
              <w:t>33.90.30.24</w:t>
            </w:r>
          </w:p>
        </w:tc>
      </w:tr>
      <w:tr w:rsidR="00502BB7" w:rsidRPr="004003F8" w:rsidTr="00502BB7">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Trena métrica profissional de 7,5 metros. Caixa com botão de trava rápida para maior controle da medição e retrocesso da fita. Ponta magnética para fixação no zero. Fita de aço revestida de nylon resistente à abrasão. </w:t>
            </w:r>
            <w:proofErr w:type="spellStart"/>
            <w:r w:rsidRPr="004003F8">
              <w:rPr>
                <w:rFonts w:eastAsia="Times New Roman" w:cs="Times New Roman"/>
                <w:color w:val="000000"/>
                <w:lang w:eastAsia="pt-BR" w:bidi="ar-SA"/>
              </w:rPr>
              <w:t>Gradução</w:t>
            </w:r>
            <w:proofErr w:type="spellEnd"/>
            <w:r w:rsidRPr="004003F8">
              <w:rPr>
                <w:rFonts w:eastAsia="Times New Roman" w:cs="Times New Roman"/>
                <w:color w:val="000000"/>
                <w:lang w:eastAsia="pt-BR" w:bidi="ar-SA"/>
              </w:rPr>
              <w:t xml:space="preserve"> no mínimo em mm e cm. Modelo de Referência: Tramontina Master Profissional - 7,5 metros - </w:t>
            </w:r>
            <w:proofErr w:type="spellStart"/>
            <w:r w:rsidRPr="004003F8">
              <w:rPr>
                <w:rFonts w:eastAsia="Times New Roman" w:cs="Times New Roman"/>
                <w:color w:val="000000"/>
                <w:lang w:eastAsia="pt-BR" w:bidi="ar-SA"/>
              </w:rPr>
              <w:t>mod</w:t>
            </w:r>
            <w:proofErr w:type="spellEnd"/>
            <w:r w:rsidRPr="004003F8">
              <w:rPr>
                <w:rFonts w:eastAsia="Times New Roman" w:cs="Times New Roman"/>
                <w:color w:val="000000"/>
                <w:lang w:eastAsia="pt-BR" w:bidi="ar-SA"/>
              </w:rPr>
              <w:t xml:space="preserve"> 43158/375,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3.3.90.30.42</w:t>
            </w:r>
          </w:p>
        </w:tc>
      </w:tr>
      <w:tr w:rsidR="00502BB7" w:rsidRPr="004003F8" w:rsidTr="00502BB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Mangueira de Combate de a Incêndio TIPO 2 - 1.1/2" x 15m. </w:t>
            </w:r>
            <w:proofErr w:type="spellStart"/>
            <w:r w:rsidRPr="004003F8">
              <w:rPr>
                <w:rFonts w:eastAsia="Times New Roman" w:cs="Times New Roman"/>
                <w:color w:val="000000"/>
                <w:lang w:eastAsia="pt-BR" w:bidi="ar-SA"/>
              </w:rPr>
              <w:t>Ref</w:t>
            </w:r>
            <w:proofErr w:type="spellEnd"/>
            <w:r w:rsidRPr="004003F8">
              <w:rPr>
                <w:rFonts w:eastAsia="Times New Roman" w:cs="Times New Roman"/>
                <w:color w:val="000000"/>
                <w:lang w:eastAsia="pt-BR" w:bidi="ar-SA"/>
              </w:rPr>
              <w:t xml:space="preserve"> marca </w:t>
            </w:r>
            <w:proofErr w:type="spellStart"/>
            <w:r w:rsidRPr="004003F8">
              <w:rPr>
                <w:rFonts w:eastAsia="Times New Roman" w:cs="Times New Roman"/>
                <w:color w:val="000000"/>
                <w:lang w:eastAsia="pt-BR" w:bidi="ar-SA"/>
              </w:rPr>
              <w:t>Kidde</w:t>
            </w:r>
            <w:proofErr w:type="spellEnd"/>
            <w:r w:rsidRPr="004003F8">
              <w:rPr>
                <w:rFonts w:eastAsia="Times New Roman" w:cs="Times New Roman"/>
                <w:color w:val="00000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3.3.90.30.28</w:t>
            </w:r>
          </w:p>
        </w:tc>
      </w:tr>
      <w:tr w:rsidR="00502BB7" w:rsidRPr="004003F8" w:rsidTr="007213F6">
        <w:trPr>
          <w:trHeight w:val="300"/>
        </w:trPr>
        <w:tc>
          <w:tcPr>
            <w:tcW w:w="72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p>
        </w:tc>
        <w:tc>
          <w:tcPr>
            <w:tcW w:w="706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02BB7" w:rsidRPr="004003F8" w:rsidRDefault="00502BB7" w:rsidP="00502BB7">
            <w:pPr>
              <w:widowControl/>
              <w:suppressAutoHyphens w:val="0"/>
              <w:jc w:val="both"/>
              <w:textAlignment w:val="auto"/>
              <w:rPr>
                <w:rFonts w:eastAsia="Times New Roman" w:cs="Times New Roman"/>
                <w:lang w:eastAsia="pt-BR" w:bidi="ar-SA"/>
              </w:rPr>
            </w:pPr>
          </w:p>
        </w:tc>
      </w:tr>
      <w:tr w:rsidR="00502BB7" w:rsidRPr="004003F8"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LOTE 03 - Perfis para estrutura de forro modular</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Elemento de Despesa</w:t>
            </w:r>
          </w:p>
        </w:tc>
      </w:tr>
      <w:tr w:rsidR="00502BB7" w:rsidRPr="004003F8" w:rsidTr="00502BB7">
        <w:trPr>
          <w:trHeight w:val="153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lastRenderedPageBreak/>
              <w:t>20</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Logarina</w:t>
            </w:r>
            <w:proofErr w:type="spellEnd"/>
            <w:r w:rsidRPr="004003F8">
              <w:rPr>
                <w:rFonts w:eastAsia="Times New Roman" w:cs="Times New Roman"/>
                <w:color w:val="000000"/>
                <w:lang w:eastAsia="pt-BR" w:bidi="ar-SA"/>
              </w:rPr>
              <w:t xml:space="preserve"> (secundária) Perfil metálico T clicado para forro modular 24mmx1250mm,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153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Logarina</w:t>
            </w:r>
            <w:proofErr w:type="spellEnd"/>
            <w:r w:rsidRPr="004003F8">
              <w:rPr>
                <w:rFonts w:eastAsia="Times New Roman" w:cs="Times New Roman"/>
                <w:color w:val="000000"/>
                <w:lang w:eastAsia="pt-BR" w:bidi="ar-SA"/>
              </w:rPr>
              <w:t xml:space="preserve"> (secundária) Perfil metálico T clicado para forro modular 24mmx625mm,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502BB7">
        <w:trPr>
          <w:trHeight w:val="1530"/>
        </w:trPr>
        <w:tc>
          <w:tcPr>
            <w:tcW w:w="720" w:type="dxa"/>
            <w:tcBorders>
              <w:top w:val="nil"/>
              <w:left w:val="single" w:sz="4" w:space="0" w:color="auto"/>
              <w:bottom w:val="single" w:sz="4" w:space="0" w:color="auto"/>
              <w:right w:val="single" w:sz="4" w:space="0" w:color="auto"/>
            </w:tcBorders>
            <w:shd w:val="clear" w:color="auto" w:fill="auto"/>
            <w:vAlign w:val="center"/>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proofErr w:type="spellStart"/>
            <w:r w:rsidRPr="004003F8">
              <w:rPr>
                <w:rFonts w:eastAsia="Times New Roman" w:cs="Times New Roman"/>
                <w:color w:val="000000"/>
                <w:lang w:eastAsia="pt-BR" w:bidi="ar-SA"/>
              </w:rPr>
              <w:t>Logarina</w:t>
            </w:r>
            <w:proofErr w:type="spellEnd"/>
            <w:r w:rsidRPr="004003F8">
              <w:rPr>
                <w:rFonts w:eastAsia="Times New Roman" w:cs="Times New Roman"/>
                <w:color w:val="000000"/>
                <w:lang w:eastAsia="pt-BR" w:bidi="ar-SA"/>
              </w:rPr>
              <w:t xml:space="preserve"> (primária) Perfil metálico T clicado para forro modular 24mmx3125mm,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33.90.30.24</w:t>
            </w:r>
          </w:p>
        </w:tc>
      </w:tr>
      <w:tr w:rsidR="00502BB7" w:rsidRPr="004003F8" w:rsidTr="007213F6">
        <w:trPr>
          <w:trHeight w:val="300"/>
        </w:trPr>
        <w:tc>
          <w:tcPr>
            <w:tcW w:w="72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p>
        </w:tc>
        <w:tc>
          <w:tcPr>
            <w:tcW w:w="7060" w:type="dxa"/>
            <w:tcBorders>
              <w:top w:val="nil"/>
              <w:left w:val="nil"/>
              <w:bottom w:val="nil"/>
              <w:right w:val="nil"/>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02BB7" w:rsidRPr="004003F8" w:rsidRDefault="00502BB7" w:rsidP="00502BB7">
            <w:pPr>
              <w:widowControl/>
              <w:suppressAutoHyphens w:val="0"/>
              <w:jc w:val="both"/>
              <w:textAlignment w:val="auto"/>
              <w:rPr>
                <w:rFonts w:eastAsia="Times New Roman" w:cs="Times New Roman"/>
                <w:lang w:eastAsia="pt-BR" w:bidi="ar-SA"/>
              </w:rPr>
            </w:pPr>
          </w:p>
        </w:tc>
      </w:tr>
      <w:tr w:rsidR="00502BB7" w:rsidRPr="004003F8" w:rsidTr="007213F6">
        <w:trPr>
          <w:trHeight w:val="300"/>
        </w:trPr>
        <w:tc>
          <w:tcPr>
            <w:tcW w:w="720" w:type="dxa"/>
            <w:tcBorders>
              <w:top w:val="nil"/>
              <w:left w:val="nil"/>
              <w:bottom w:val="nil"/>
              <w:right w:val="nil"/>
            </w:tcBorders>
            <w:shd w:val="clear" w:color="auto" w:fill="auto"/>
            <w:noWrap/>
            <w:vAlign w:val="bottom"/>
            <w:hideMark/>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02BB7" w:rsidRPr="004003F8" w:rsidRDefault="00502BB7" w:rsidP="00502BB7">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02BB7" w:rsidRPr="004003F8" w:rsidRDefault="00502BB7" w:rsidP="00502BB7">
            <w:pPr>
              <w:widowControl/>
              <w:suppressAutoHyphens w:val="0"/>
              <w:textAlignment w:val="auto"/>
              <w:rPr>
                <w:rFonts w:eastAsia="Times New Roman" w:cs="Times New Roman"/>
                <w:lang w:eastAsia="pt-BR" w:bidi="ar-SA"/>
              </w:rPr>
            </w:pPr>
          </w:p>
        </w:tc>
      </w:tr>
      <w:tr w:rsidR="00502BB7" w:rsidRPr="004003F8"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 xml:space="preserve">ITEM - </w:t>
            </w:r>
            <w:r w:rsidRPr="004003F8">
              <w:rPr>
                <w:rFonts w:eastAsia="Times New Roman" w:cs="Times New Roman"/>
                <w:color w:val="000000"/>
                <w:lang w:eastAsia="pt-BR" w:bidi="ar-SA"/>
              </w:rPr>
              <w:t>Portas de divisória naval com maçaneta tipo alavanca.</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02BB7" w:rsidRPr="004003F8" w:rsidRDefault="00502BB7" w:rsidP="00502BB7">
            <w:pPr>
              <w:widowControl/>
              <w:suppressAutoHyphens w:val="0"/>
              <w:jc w:val="center"/>
              <w:textAlignment w:val="auto"/>
              <w:rPr>
                <w:rFonts w:eastAsia="Times New Roman" w:cs="Times New Roman"/>
                <w:b/>
                <w:bCs/>
                <w:color w:val="000000"/>
                <w:lang w:eastAsia="pt-BR" w:bidi="ar-SA"/>
              </w:rPr>
            </w:pPr>
            <w:r w:rsidRPr="004003F8">
              <w:rPr>
                <w:rFonts w:eastAsia="Times New Roman" w:cs="Times New Roman"/>
                <w:b/>
                <w:bCs/>
                <w:color w:val="000000"/>
                <w:lang w:eastAsia="pt-BR" w:bidi="ar-SA"/>
              </w:rPr>
              <w:t>Elemento de Despesa</w:t>
            </w:r>
          </w:p>
        </w:tc>
      </w:tr>
      <w:tr w:rsidR="00502BB7" w:rsidRPr="004003F8" w:rsidTr="007213F6">
        <w:trPr>
          <w:trHeight w:val="280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center"/>
              <w:textAlignment w:val="auto"/>
              <w:rPr>
                <w:rFonts w:eastAsia="Times New Roman" w:cs="Times New Roman"/>
                <w:color w:val="000000"/>
                <w:lang w:eastAsia="pt-BR" w:bidi="ar-SA"/>
              </w:rPr>
            </w:pPr>
            <w:r w:rsidRPr="004003F8">
              <w:rPr>
                <w:rFonts w:eastAsia="Times New Roman" w:cs="Times New Roman"/>
                <w:color w:val="000000"/>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02BB7" w:rsidRPr="004003F8" w:rsidRDefault="00502BB7" w:rsidP="00502BB7">
            <w:pPr>
              <w:widowControl/>
              <w:suppressAutoHyphens w:val="0"/>
              <w:jc w:val="both"/>
              <w:textAlignment w:val="auto"/>
              <w:rPr>
                <w:rFonts w:eastAsia="Times New Roman" w:cs="Times New Roman"/>
                <w:color w:val="000000"/>
                <w:lang w:eastAsia="pt-BR" w:bidi="ar-SA"/>
              </w:rPr>
            </w:pPr>
            <w:r w:rsidRPr="004003F8">
              <w:rPr>
                <w:rFonts w:eastAsia="Times New Roman" w:cs="Times New Roman"/>
                <w:color w:val="000000"/>
                <w:lang w:eastAsia="pt-BR" w:bidi="ar-SA"/>
              </w:rPr>
              <w:t xml:space="preserve">Porta de divisória naval, com dimensões aproximadas de 80cm de largura por 210cm de altura e 35mm de espessura, </w:t>
            </w:r>
            <w:proofErr w:type="spellStart"/>
            <w:r w:rsidRPr="004003F8">
              <w:rPr>
                <w:rFonts w:eastAsia="Times New Roman" w:cs="Times New Roman"/>
                <w:color w:val="000000"/>
                <w:lang w:eastAsia="pt-BR" w:bidi="ar-SA"/>
              </w:rPr>
              <w:t>contraplacadas</w:t>
            </w:r>
            <w:proofErr w:type="spellEnd"/>
            <w:r w:rsidRPr="004003F8">
              <w:rPr>
                <w:rFonts w:eastAsia="Times New Roman" w:cs="Times New Roman"/>
                <w:color w:val="000000"/>
                <w:lang w:eastAsia="pt-BR" w:bidi="ar-SA"/>
              </w:rPr>
              <w:t xml:space="preserve"> em ambas as faces por chapa de fibra de madeira prensada com acabamento em laminado </w:t>
            </w:r>
            <w:proofErr w:type="spellStart"/>
            <w:r w:rsidRPr="004003F8">
              <w:rPr>
                <w:rFonts w:eastAsia="Times New Roman" w:cs="Times New Roman"/>
                <w:color w:val="000000"/>
                <w:lang w:eastAsia="pt-BR" w:bidi="ar-SA"/>
              </w:rPr>
              <w:t>melamínico</w:t>
            </w:r>
            <w:proofErr w:type="spellEnd"/>
            <w:r w:rsidRPr="004003F8">
              <w:rPr>
                <w:rFonts w:eastAsia="Times New Roman" w:cs="Times New Roman"/>
                <w:color w:val="000000"/>
                <w:lang w:eastAsia="pt-BR" w:bidi="ar-SA"/>
              </w:rPr>
              <w:t xml:space="preserve"> com pintura </w:t>
            </w:r>
            <w:proofErr w:type="spellStart"/>
            <w:r w:rsidRPr="004003F8">
              <w:rPr>
                <w:rFonts w:eastAsia="Times New Roman" w:cs="Times New Roman"/>
                <w:color w:val="000000"/>
                <w:lang w:eastAsia="pt-BR" w:bidi="ar-SA"/>
              </w:rPr>
              <w:t>alquídica</w:t>
            </w:r>
            <w:proofErr w:type="spellEnd"/>
            <w:r w:rsidRPr="004003F8">
              <w:rPr>
                <w:rFonts w:eastAsia="Times New Roman" w:cs="Times New Roman"/>
                <w:color w:val="000000"/>
                <w:lang w:eastAsia="pt-BR" w:bidi="ar-SA"/>
              </w:rPr>
              <w:t xml:space="preserve"> na cor cinza cristal, </w:t>
            </w:r>
            <w:proofErr w:type="spellStart"/>
            <w:r w:rsidRPr="004003F8">
              <w:rPr>
                <w:rFonts w:eastAsia="Times New Roman" w:cs="Times New Roman"/>
                <w:color w:val="000000"/>
                <w:lang w:eastAsia="pt-BR" w:bidi="ar-SA"/>
              </w:rPr>
              <w:t>requadradas</w:t>
            </w:r>
            <w:proofErr w:type="spellEnd"/>
            <w:r w:rsidRPr="004003F8">
              <w:rPr>
                <w:rFonts w:eastAsia="Times New Roman" w:cs="Times New Roman"/>
                <w:color w:val="000000"/>
                <w:lang w:eastAsia="pt-BR" w:bidi="ar-SA"/>
              </w:rPr>
              <w:t xml:space="preserve"> em todo perímetro com madeira maciça seca e desempenada, encabeçadas em aço galvanizado com pintura eletrostática epóxi poliéster. Deverão possuir fechadura com maçaneta tipo alavanca, confeccionada em aço inox (testa e </w:t>
            </w:r>
            <w:proofErr w:type="spellStart"/>
            <w:r w:rsidRPr="004003F8">
              <w:rPr>
                <w:rFonts w:eastAsia="Times New Roman" w:cs="Times New Roman"/>
                <w:color w:val="000000"/>
                <w:lang w:eastAsia="pt-BR" w:bidi="ar-SA"/>
              </w:rPr>
              <w:t>contra-testa</w:t>
            </w:r>
            <w:proofErr w:type="spellEnd"/>
            <w:r w:rsidRPr="004003F8">
              <w:rPr>
                <w:rFonts w:eastAsia="Times New Roman" w:cs="Times New Roman"/>
                <w:color w:val="000000"/>
                <w:lang w:eastAsia="pt-BR" w:bidi="ar-SA"/>
              </w:rPr>
              <w:t xml:space="preserve">) e </w:t>
            </w:r>
            <w:proofErr w:type="spellStart"/>
            <w:r w:rsidRPr="004003F8">
              <w:rPr>
                <w:rFonts w:eastAsia="Times New Roman" w:cs="Times New Roman"/>
                <w:color w:val="000000"/>
                <w:lang w:eastAsia="pt-BR" w:bidi="ar-SA"/>
              </w:rPr>
              <w:t>zamac</w:t>
            </w:r>
            <w:proofErr w:type="spellEnd"/>
            <w:r w:rsidRPr="004003F8">
              <w:rPr>
                <w:rFonts w:eastAsia="Times New Roman" w:cs="Times New Roman"/>
                <w:color w:val="000000"/>
                <w:lang w:eastAsia="pt-BR" w:bidi="ar-SA"/>
              </w:rPr>
              <w:t xml:space="preserve"> (maçaneta, lingueta e cilindro) e acabamento cromado. Distância mínima da broca de 40mm, referência PAPAIZ ou equivalente (para sanitários acessíveis). As medidas de cada uma das unidades deverão ser confirmadas "in loco" antes da confecção e entrega.</w:t>
            </w:r>
          </w:p>
        </w:tc>
        <w:tc>
          <w:tcPr>
            <w:tcW w:w="2200" w:type="dxa"/>
            <w:tcBorders>
              <w:top w:val="nil"/>
              <w:left w:val="nil"/>
              <w:bottom w:val="single" w:sz="4" w:space="0" w:color="auto"/>
              <w:right w:val="single" w:sz="4" w:space="0" w:color="auto"/>
            </w:tcBorders>
            <w:shd w:val="clear" w:color="auto" w:fill="auto"/>
            <w:noWrap/>
            <w:vAlign w:val="center"/>
            <w:hideMark/>
          </w:tcPr>
          <w:p w:rsidR="00502BB7" w:rsidRPr="00C6708B" w:rsidRDefault="00502BB7" w:rsidP="00502BB7">
            <w:pPr>
              <w:widowControl/>
              <w:suppressAutoHyphens w:val="0"/>
              <w:jc w:val="center"/>
              <w:textAlignment w:val="auto"/>
              <w:rPr>
                <w:rFonts w:eastAsia="Times New Roman" w:cs="Times New Roman"/>
                <w:b/>
                <w:color w:val="000000"/>
                <w:lang w:eastAsia="pt-BR" w:bidi="ar-SA"/>
              </w:rPr>
            </w:pPr>
            <w:r w:rsidRPr="00C6708B">
              <w:rPr>
                <w:rFonts w:eastAsia="Times New Roman" w:cs="Times New Roman"/>
                <w:b/>
                <w:color w:val="000000"/>
                <w:lang w:eastAsia="pt-BR" w:bidi="ar-SA"/>
              </w:rPr>
              <w:t>33.90.30-24</w:t>
            </w:r>
          </w:p>
        </w:tc>
      </w:tr>
    </w:tbl>
    <w:p w:rsidR="0052623B" w:rsidRPr="004003F8" w:rsidRDefault="0052623B" w:rsidP="0052623B">
      <w:pPr>
        <w:pStyle w:val="Standard"/>
        <w:tabs>
          <w:tab w:val="left" w:pos="-3945"/>
        </w:tabs>
        <w:spacing w:line="360" w:lineRule="auto"/>
        <w:jc w:val="both"/>
        <w:rPr>
          <w:rFonts w:ascii="Times New Roman" w:hAnsi="Times New Roman" w:cs="Times New Roman"/>
        </w:rPr>
      </w:pPr>
    </w:p>
    <w:p w:rsidR="0052623B" w:rsidRPr="004003F8" w:rsidRDefault="0052623B" w:rsidP="0052623B">
      <w:pPr>
        <w:pStyle w:val="Standard"/>
        <w:tabs>
          <w:tab w:val="left" w:pos="375"/>
        </w:tabs>
        <w:spacing w:line="360" w:lineRule="auto"/>
        <w:jc w:val="both"/>
        <w:rPr>
          <w:rFonts w:ascii="Times New Roman" w:hAnsi="Times New Roman" w:cs="Times New Roman"/>
        </w:rPr>
      </w:pPr>
    </w:p>
    <w:p w:rsidR="0052623B" w:rsidRPr="004003F8"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4003F8">
        <w:rPr>
          <w:rFonts w:cs="Times New Roman"/>
          <w:b/>
        </w:rPr>
        <w:t>Da entrega e critérios de aceitação do objeto</w:t>
      </w:r>
    </w:p>
    <w:p w:rsidR="0052623B" w:rsidRPr="004003F8" w:rsidRDefault="0052623B" w:rsidP="0052623B">
      <w:pPr>
        <w:pStyle w:val="Standard"/>
        <w:tabs>
          <w:tab w:val="left" w:pos="375"/>
        </w:tabs>
        <w:spacing w:line="360" w:lineRule="auto"/>
        <w:jc w:val="both"/>
        <w:rPr>
          <w:rFonts w:ascii="Times New Roman" w:hAnsi="Times New Roman" w:cs="Times New Roman"/>
        </w:rPr>
      </w:pP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 xml:space="preserve">O prazo de entrega dos bens é de 30 dias corridos, contados da confirmação de recebimento da ordem de fornecimento, em remessa única, no Almoxarifado e </w:t>
      </w:r>
      <w:r w:rsidRPr="004003F8">
        <w:rPr>
          <w:rFonts w:ascii="Times New Roman" w:hAnsi="Times New Roman" w:cs="Times New Roman"/>
        </w:rPr>
        <w:lastRenderedPageBreak/>
        <w:t>Patrimônio do CNMP, localizado no Setor de Administração Federal Sul - SAFS, Quadra 2, Lote 3, CEP 70070-600. A entrega poderá ser agendada com a COENG/SEMAT/SEPAT pelo telefone 61-3366-9100 entre 13h e 18h.</w:t>
      </w:r>
    </w:p>
    <w:p w:rsidR="0052623B" w:rsidRPr="004003F8"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4003F8">
        <w:rPr>
          <w:rFonts w:ascii="Times New Roman" w:hAnsi="Times New Roman"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Os materiais serão recebidos definitivamente no prazo de até 10 dias úteis, contados do recebimento provisório, após a verificação da qualidade e quantidade do material e consequente aceitação mediante termo circunstanciado.</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 recebimento provisório ou definitivo do objeto não exclui a responsabilidade da CONTRATADA pelos prejuízos resultantes da incorreta execução do objeto contratado.</w:t>
      </w:r>
    </w:p>
    <w:p w:rsidR="0052623B" w:rsidRPr="004003F8" w:rsidRDefault="0052623B" w:rsidP="0052623B">
      <w:pPr>
        <w:pStyle w:val="Standard"/>
        <w:jc w:val="both"/>
        <w:rPr>
          <w:rFonts w:ascii="Times New Roman" w:eastAsia="Times New Roman" w:hAnsi="Times New Roman" w:cs="Times New Roman"/>
          <w:b/>
          <w:bCs/>
          <w:u w:val="single"/>
          <w:lang w:bidi="ar-SA"/>
        </w:rPr>
      </w:pPr>
    </w:p>
    <w:p w:rsidR="0052623B" w:rsidRPr="004003F8" w:rsidRDefault="0052623B" w:rsidP="0052623B">
      <w:pPr>
        <w:pStyle w:val="Standard"/>
        <w:jc w:val="both"/>
        <w:rPr>
          <w:rFonts w:ascii="Times New Roman" w:hAnsi="Times New Roman" w:cs="Times New Roman"/>
        </w:rPr>
      </w:pPr>
    </w:p>
    <w:p w:rsidR="0052623B" w:rsidRPr="004003F8"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4003F8">
        <w:rPr>
          <w:rFonts w:cs="Times New Roman"/>
          <w:b/>
        </w:rPr>
        <w:t>Prazo de Garantia</w:t>
      </w:r>
    </w:p>
    <w:p w:rsidR="0052623B" w:rsidRPr="004003F8" w:rsidRDefault="0052623B" w:rsidP="0052623B">
      <w:pPr>
        <w:pStyle w:val="Standard"/>
        <w:tabs>
          <w:tab w:val="left" w:pos="375"/>
        </w:tabs>
        <w:spacing w:line="360" w:lineRule="auto"/>
        <w:jc w:val="both"/>
        <w:rPr>
          <w:rFonts w:ascii="Times New Roman" w:hAnsi="Times New Roman" w:cs="Times New Roman"/>
        </w:rPr>
      </w:pP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 xml:space="preserve">O período de Garantia Técnica contra defeito de fabricação deverá ser de, no mínimo, 01 (um) ano, contado a partir da data da emissão do Termo de Recebimento </w:t>
      </w:r>
      <w:r w:rsidRPr="004003F8">
        <w:rPr>
          <w:rFonts w:ascii="Times New Roman" w:hAnsi="Times New Roman" w:cs="Times New Roman"/>
        </w:rPr>
        <w:lastRenderedPageBreak/>
        <w:t>Definitivo, prevalecendo a garantia oferecida pelo fabricante, caso o prazo seja superior; salvo as seguintes situações:</w:t>
      </w:r>
    </w:p>
    <w:p w:rsidR="0052623B" w:rsidRPr="004003F8"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Para os itens que se caracterizam como material de consumo de uso único, que não permitem reaproveitamento após a aplicação, como filtros, correias, terminais de compressão elétricos, conectores de rede que exigem “</w:t>
      </w:r>
      <w:proofErr w:type="spellStart"/>
      <w:r w:rsidRPr="004003F8">
        <w:rPr>
          <w:rFonts w:ascii="Times New Roman" w:hAnsi="Times New Roman" w:cs="Times New Roman"/>
        </w:rPr>
        <w:t>crimpagem</w:t>
      </w:r>
      <w:proofErr w:type="spellEnd"/>
      <w:r w:rsidRPr="004003F8">
        <w:rPr>
          <w:rFonts w:ascii="Times New Roman" w:hAnsi="Times New Roman" w:cs="Times New Roman"/>
        </w:rPr>
        <w:t xml:space="preserve">”,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Pr="004003F8"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4003F8">
        <w:rPr>
          <w:rFonts w:ascii="Times New Roman" w:hAnsi="Times New Roman"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52623B" w:rsidRPr="004003F8" w:rsidRDefault="0052623B" w:rsidP="0052623B">
      <w:pPr>
        <w:pStyle w:val="Standard"/>
        <w:numPr>
          <w:ilvl w:val="1"/>
          <w:numId w:val="22"/>
        </w:numPr>
        <w:tabs>
          <w:tab w:val="left" w:pos="-3945"/>
        </w:tabs>
        <w:spacing w:line="360" w:lineRule="auto"/>
        <w:jc w:val="both"/>
        <w:rPr>
          <w:rFonts w:ascii="Times New Roman" w:eastAsia="Times New Roman" w:hAnsi="Times New Roman" w:cs="Times New Roman"/>
          <w:b/>
          <w:bCs/>
          <w:u w:val="single"/>
          <w:lang w:bidi="ar-SA"/>
        </w:rPr>
      </w:pPr>
      <w:r w:rsidRPr="004003F8">
        <w:rPr>
          <w:rFonts w:ascii="Times New Roman" w:eastAsia="Times New Roman" w:hAnsi="Times New Roman" w:cs="Times New Roman"/>
          <w:b/>
          <w:bCs/>
          <w:u w:val="single"/>
          <w:lang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2623B" w:rsidRPr="004003F8" w:rsidRDefault="0052623B" w:rsidP="0052623B">
      <w:pPr>
        <w:pStyle w:val="Standard"/>
        <w:jc w:val="both"/>
        <w:rPr>
          <w:rFonts w:ascii="Times New Roman" w:eastAsia="Times New Roman" w:hAnsi="Times New Roman" w:cs="Times New Roman"/>
          <w:b/>
          <w:bCs/>
          <w:u w:val="single"/>
          <w:lang w:bidi="ar-SA"/>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rPr>
      </w:pPr>
      <w:r w:rsidRPr="004003F8">
        <w:rPr>
          <w:rFonts w:ascii="Times New Roman" w:eastAsia="Times New Roman" w:hAnsi="Times New Roman" w:cs="Times New Roman"/>
          <w:b/>
          <w:bCs/>
          <w:lang w:bidi="ar-SA"/>
        </w:rPr>
        <w:t xml:space="preserve">Obrigações da </w:t>
      </w:r>
      <w:r w:rsidRPr="004003F8">
        <w:rPr>
          <w:rFonts w:ascii="Times New Roman" w:hAnsi="Times New Roman" w:cs="Times New Roman"/>
          <w:b/>
          <w:bCs/>
          <w:color w:val="000000"/>
        </w:rPr>
        <w:t>Contratante</w:t>
      </w:r>
    </w:p>
    <w:p w:rsidR="0052623B" w:rsidRPr="004003F8" w:rsidRDefault="0052623B" w:rsidP="0052623B">
      <w:pPr>
        <w:pStyle w:val="WW-Padro"/>
        <w:tabs>
          <w:tab w:val="clear" w:pos="709"/>
          <w:tab w:val="left" w:pos="771"/>
        </w:tabs>
        <w:spacing w:after="0" w:line="360" w:lineRule="auto"/>
        <w:ind w:left="62" w:right="0" w:hanging="363"/>
        <w:rPr>
          <w:rFonts w:cs="Times New Roman"/>
          <w:b/>
          <w:bCs/>
          <w:color w:val="000000"/>
          <w:u w:val="single"/>
        </w:rPr>
      </w:pP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São obrigações da CONTRATANTE:</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Proporcionar as facilidades indispensáveis à boa execução das obrigações contratuais.</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Receber o objeto no prazo e condições estabelecidas no Edital e seus anexos.</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Verificar minuciosamente, no prazo fixado, a conformidade dos bens recebidos provisoriamente com as especificações constantes do Edital e da proposta, para fins de aceitação e recebimentos</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Comunicar à CONTRATADA, por escrito, sobre imperfeições, falhas ou irregularidades verificadas no objeto fornecido, fixando prazo para que seja substituído, reparado ou corrigido.</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Efetuar o pagamento à CONTRATADA no valor correspondente ao fornecimento do objeto, no prazo e forma estabelecidos neste Termo de Referência.</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Aplicar as sanções, conforme previsto no edital e termo de referência.</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Prestar todas as informações e esclarecimentos pertinentes ao objeto contratado, que venham a ser solicitadas pelos técnicos da CONTRATADA.</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Pr="004003F8"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4003F8">
        <w:rPr>
          <w:rFonts w:ascii="Times New Roman" w:hAnsi="Times New Roman" w:cs="Times New Roman"/>
        </w:rPr>
        <w:lastRenderedPageBreak/>
        <w:t>Anotar em registro próprio e notificar à CONTRATADA, por escrito, a ocorrência de eventuais imperfeições no curso de execução do serviço, fixando prazo para a sua correção.</w:t>
      </w:r>
    </w:p>
    <w:p w:rsidR="0052623B" w:rsidRPr="004003F8" w:rsidRDefault="0052623B" w:rsidP="0052623B">
      <w:pPr>
        <w:pStyle w:val="Standard"/>
        <w:jc w:val="both"/>
        <w:rPr>
          <w:rFonts w:ascii="Times New Roman" w:eastAsia="Times New Roman" w:hAnsi="Times New Roman" w:cs="Times New Roman"/>
          <w:b/>
          <w:bCs/>
          <w:u w:val="single"/>
          <w:lang w:bidi="ar-SA"/>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rPr>
      </w:pPr>
      <w:r w:rsidRPr="004003F8">
        <w:rPr>
          <w:rFonts w:ascii="Times New Roman" w:eastAsia="Times New Roman" w:hAnsi="Times New Roman" w:cs="Times New Roman"/>
          <w:b/>
          <w:bCs/>
          <w:lang w:bidi="ar-SA"/>
        </w:rPr>
        <w:t xml:space="preserve">Obrigações da </w:t>
      </w:r>
      <w:r w:rsidRPr="004003F8">
        <w:rPr>
          <w:rFonts w:ascii="Times New Roman" w:hAnsi="Times New Roman" w:cs="Times New Roman"/>
          <w:b/>
          <w:bCs/>
          <w:color w:val="000000"/>
        </w:rPr>
        <w:t>Contratada</w:t>
      </w:r>
    </w:p>
    <w:p w:rsidR="0052623B" w:rsidRPr="004003F8" w:rsidRDefault="0052623B" w:rsidP="0052623B">
      <w:pPr>
        <w:pStyle w:val="WW-Padro"/>
        <w:tabs>
          <w:tab w:val="clear" w:pos="709"/>
          <w:tab w:val="left" w:pos="771"/>
        </w:tabs>
        <w:spacing w:after="0" w:line="360" w:lineRule="auto"/>
        <w:ind w:left="62" w:right="0" w:hanging="363"/>
        <w:rPr>
          <w:rFonts w:cs="Times New Roman"/>
          <w:b/>
          <w:bCs/>
          <w:i/>
          <w:iCs/>
          <w:color w:val="000000"/>
          <w:u w:val="single"/>
        </w:rPr>
      </w:pPr>
    </w:p>
    <w:p w:rsidR="0052623B" w:rsidRPr="004003F8" w:rsidRDefault="0052623B" w:rsidP="0052623B">
      <w:pPr>
        <w:pStyle w:val="Standard"/>
        <w:jc w:val="both"/>
        <w:rPr>
          <w:rFonts w:ascii="Times New Roman" w:hAnsi="Times New Roman" w:cs="Times New Roman"/>
        </w:rPr>
      </w:pPr>
    </w:p>
    <w:p w:rsidR="0052623B" w:rsidRPr="004003F8"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4003F8">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substituir, reparar ou corrigir, às suas expensas, no prazo de 15 dias úteis, contados a partir da notificação pelo CONTRATANTE, o objeto com avarias ou defeitos;</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CONTRATADA deve relacionar-se com O CONTRATANTE, exclusivamente, por meio do fiscal do Contrato, e preferencialmente, por escrito.</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CONTRATADA deverá prestar esclarecimentos ao CNMP e sujeitar-se às orientações do fiscal do contrato.</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A CONTRATADA é obrigada a reparar, corrigir, remover, reconstruir ou substituir, às suas expensas, no total ou em parte, o objeto do contrato em que se verificarem vícios, defeitos, avarias ou </w:t>
      </w:r>
      <w:proofErr w:type="gramStart"/>
      <w:r w:rsidRPr="004003F8">
        <w:rPr>
          <w:rFonts w:ascii="Times New Roman" w:hAnsi="Times New Roman" w:cs="Times New Roman"/>
        </w:rPr>
        <w:t>incorreções .</w:t>
      </w:r>
      <w:proofErr w:type="gramEnd"/>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lastRenderedPageBreak/>
        <w:t>Manter, durante toda a execução do contrato, em compatibilidade com as obrigações por ele assumidas, todas as condições de habilitação e qualificação exigidas na licitação (Art. 55, XVIII Lei 8.666/93).</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O contratado é responsável pelos danos causados diretamente à Administração ou a terceiros, decorrentes de sua culpa ou dolo na execução do contrato (Art. 70 Lei 8.666/93).</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CONTRATADA deve zelar pelas instalações do CONTRATANTE.</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CONTRATADA é obrigada a disponibilizar e manter atualizados conta de e-mail, endereço e telefones comerciais para fins de comunicação formal entre as partes.</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É vedado à CONTRATADA caucionar ou utilizar o contrato para quaisquer operações financeiras.</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O objeto deve estar acompanhado do manual do usuário se for o caso, com uma versão em português e da relação da rede de assistência técnica autorizada, necessariamente presente em território nacional.</w:t>
      </w:r>
    </w:p>
    <w:p w:rsidR="0052623B" w:rsidRPr="004003F8"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Responsabilizar-se pelos vícios e danos decorrentes do objeto.</w:t>
      </w:r>
    </w:p>
    <w:p w:rsidR="0052623B" w:rsidRPr="004003F8" w:rsidRDefault="0052623B" w:rsidP="0052623B">
      <w:pPr>
        <w:pStyle w:val="Standard"/>
        <w:tabs>
          <w:tab w:val="left" w:pos="270"/>
        </w:tabs>
        <w:spacing w:line="360" w:lineRule="auto"/>
        <w:jc w:val="both"/>
        <w:rPr>
          <w:rFonts w:ascii="Times New Roman" w:hAnsi="Times New Roman" w:cs="Times New Roman"/>
          <w:i/>
          <w:iCs/>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4003F8">
        <w:rPr>
          <w:rFonts w:ascii="Times New Roman" w:hAnsi="Times New Roman" w:cs="Times New Roman"/>
          <w:b/>
          <w:bCs/>
          <w:color w:val="000000"/>
        </w:rPr>
        <w:t>Critérios para Julgamento da Proposta</w:t>
      </w:r>
    </w:p>
    <w:p w:rsidR="0052623B" w:rsidRPr="004003F8" w:rsidRDefault="0052623B" w:rsidP="0052623B">
      <w:pPr>
        <w:pStyle w:val="Standard"/>
        <w:jc w:val="both"/>
        <w:rPr>
          <w:rFonts w:ascii="Times New Roman"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proposta apresentada deverá conter o CNPJ da proponente, prazo de validade e ser endereçada ao Conselho Nacional do Ministério Público – CNMP;</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A adjudicação será pelo menor preço do grupo de itens (lote) ou do item isolado, </w:t>
      </w:r>
      <w:r w:rsidRPr="004003F8">
        <w:rPr>
          <w:rFonts w:ascii="Times New Roman" w:hAnsi="Times New Roman" w:cs="Times New Roman"/>
        </w:rPr>
        <w:lastRenderedPageBreak/>
        <w:t>conforme o caso, e a empreitada por preço unitário. A utilização de grupo de itens, quando aplicável, se justifica para que não haja perda de economia de escala de acordo com §1º do art. 23 da Lei 8666/</w:t>
      </w:r>
      <w:proofErr w:type="gramStart"/>
      <w:r w:rsidRPr="004003F8">
        <w:rPr>
          <w:rFonts w:ascii="Times New Roman" w:hAnsi="Times New Roman" w:cs="Times New Roman"/>
        </w:rPr>
        <w:t>93.Os</w:t>
      </w:r>
      <w:proofErr w:type="gramEnd"/>
      <w:r w:rsidRPr="004003F8">
        <w:rPr>
          <w:rFonts w:ascii="Times New Roman" w:hAnsi="Times New Roman" w:cs="Times New Roman"/>
        </w:rPr>
        <w:t xml:space="preserve"> itens que estão presentes no lote possuem total correlação, de modo que, sem restrição da competitividade, seja viabilizada a economia de escala.</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Nos preços da proposta deverão estar inclusos todas as despesas e custos diretos e indiretos, como impostos, taxas e fretes;</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As proponentes deverão apresentar preços unitários e totais, em moeda nacional, conforme o anexo I</w:t>
      </w:r>
      <w:r w:rsidR="00674FB7">
        <w:rPr>
          <w:rFonts w:ascii="Times New Roman" w:hAnsi="Times New Roman" w:cs="Times New Roman"/>
        </w:rPr>
        <w:t>I do Edital</w:t>
      </w:r>
      <w:r w:rsidRPr="004003F8">
        <w:rPr>
          <w:rFonts w:ascii="Times New Roman" w:hAnsi="Times New Roman" w:cs="Times New Roman"/>
        </w:rPr>
        <w:t>;</w:t>
      </w:r>
    </w:p>
    <w:p w:rsidR="0052623B" w:rsidRPr="004003F8" w:rsidRDefault="0052623B" w:rsidP="0052623B">
      <w:pPr>
        <w:pStyle w:val="Standard"/>
        <w:tabs>
          <w:tab w:val="left" w:pos="270"/>
        </w:tabs>
        <w:spacing w:line="360" w:lineRule="auto"/>
        <w:jc w:val="both"/>
        <w:rPr>
          <w:rFonts w:ascii="Times New Roman" w:eastAsia="ArialMT" w:hAnsi="Times New Roman" w:cs="Times New Roman"/>
          <w:b/>
          <w:bCs/>
        </w:rPr>
      </w:pPr>
    </w:p>
    <w:p w:rsidR="0052623B" w:rsidRPr="004003F8"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cs="Times New Roman"/>
          <w:b/>
          <w:bCs/>
        </w:rPr>
      </w:pPr>
      <w:r w:rsidRPr="004003F8">
        <w:rPr>
          <w:rFonts w:cs="Times New Roman"/>
          <w:b/>
          <w:bCs/>
        </w:rPr>
        <w:t>Alteração subjetiva</w:t>
      </w:r>
    </w:p>
    <w:p w:rsidR="0052623B" w:rsidRPr="004003F8" w:rsidRDefault="0052623B" w:rsidP="0052623B">
      <w:pPr>
        <w:pStyle w:val="western"/>
        <w:tabs>
          <w:tab w:val="clear" w:pos="709"/>
          <w:tab w:val="left" w:pos="438"/>
        </w:tabs>
        <w:spacing w:before="0" w:after="0"/>
        <w:rPr>
          <w:rFonts w:cs="Times New Roman"/>
        </w:rPr>
      </w:pPr>
    </w:p>
    <w:p w:rsidR="0052623B" w:rsidRPr="004003F8" w:rsidRDefault="0052623B" w:rsidP="0052623B">
      <w:pPr>
        <w:pStyle w:val="western"/>
        <w:tabs>
          <w:tab w:val="clear" w:pos="709"/>
          <w:tab w:val="left" w:pos="438"/>
        </w:tabs>
        <w:spacing w:before="0" w:after="0"/>
        <w:rPr>
          <w:rFonts w:cs="Times New Roman"/>
        </w:rPr>
      </w:pPr>
    </w:p>
    <w:p w:rsidR="0052623B" w:rsidRPr="004003F8" w:rsidRDefault="0052623B" w:rsidP="0052623B">
      <w:pPr>
        <w:pStyle w:val="Standard"/>
        <w:numPr>
          <w:ilvl w:val="1"/>
          <w:numId w:val="23"/>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Pr="004003F8" w:rsidRDefault="0052623B" w:rsidP="0052623B">
      <w:pPr>
        <w:pStyle w:val="Standard"/>
        <w:tabs>
          <w:tab w:val="left" w:pos="270"/>
        </w:tabs>
        <w:spacing w:line="360" w:lineRule="auto"/>
        <w:jc w:val="both"/>
        <w:rPr>
          <w:rFonts w:ascii="Times New Roman" w:hAnsi="Times New Roman" w:cs="Times New Roman"/>
          <w:i/>
          <w:iCs/>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4003F8">
        <w:rPr>
          <w:rFonts w:ascii="Times New Roman" w:hAnsi="Times New Roman" w:cs="Times New Roman"/>
          <w:b/>
          <w:bCs/>
          <w:color w:val="000000"/>
        </w:rPr>
        <w:t>Controle da Execução</w:t>
      </w:r>
    </w:p>
    <w:p w:rsidR="0052623B" w:rsidRPr="004003F8" w:rsidRDefault="0052623B" w:rsidP="0052623B">
      <w:pPr>
        <w:pStyle w:val="Standard"/>
        <w:widowControl/>
        <w:tabs>
          <w:tab w:val="left" w:pos="438"/>
        </w:tabs>
        <w:snapToGrid w:val="0"/>
        <w:spacing w:line="100" w:lineRule="atLeast"/>
        <w:jc w:val="both"/>
        <w:rPr>
          <w:rFonts w:ascii="Times New Roman"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As decisões e providências que ultrapassarem a competência do representante </w:t>
      </w:r>
      <w:r w:rsidRPr="004003F8">
        <w:rPr>
          <w:rFonts w:ascii="Times New Roman" w:hAnsi="Times New Roman" w:cs="Times New Roman"/>
        </w:rPr>
        <w:lastRenderedPageBreak/>
        <w:t>deverão ser solicitadas ao seu gestor, em tempo hábil para adoção das medidas convenientes (Art. 67, §2º Lei 8.666/93).</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proofErr w:type="gramStart"/>
      <w:r w:rsidRPr="004003F8">
        <w:rPr>
          <w:rFonts w:ascii="Times New Roman" w:hAnsi="Times New Roman" w:cs="Times New Roman"/>
        </w:rPr>
        <w:t>A ordem de fornecimento acompanhada da Nota de Empenho constituirão</w:t>
      </w:r>
      <w:proofErr w:type="gramEnd"/>
      <w:r w:rsidRPr="004003F8">
        <w:rPr>
          <w:rFonts w:ascii="Times New Roman" w:hAnsi="Times New Roman" w:cs="Times New Roman"/>
        </w:rPr>
        <w:t xml:space="preserve"> documentos de autorização para a entrega dos bens.</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w:t>
      </w:r>
      <w:proofErr w:type="gramStart"/>
      <w:r w:rsidRPr="004003F8">
        <w:rPr>
          <w:rFonts w:ascii="Times New Roman" w:hAnsi="Times New Roman" w:cs="Times New Roman"/>
        </w:rPr>
        <w:t>1993..</w:t>
      </w:r>
      <w:proofErr w:type="gramEnd"/>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O Conselho Nacional do Ministério Público, poderá rejeitar, no todo ou em parte, se em desacordo com o Termo de Referência.</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Quaisquer exigências da Fiscalização, inerentes ao Objeto da presente contratação, deverão ser prontamente atendidas PELA CONTRATADA.</w:t>
      </w:r>
    </w:p>
    <w:p w:rsidR="0052623B" w:rsidRPr="004003F8" w:rsidRDefault="0052623B" w:rsidP="0052623B">
      <w:pPr>
        <w:pStyle w:val="Standard"/>
        <w:widowControl/>
        <w:tabs>
          <w:tab w:val="left" w:pos="70"/>
        </w:tabs>
        <w:snapToGrid w:val="0"/>
        <w:spacing w:before="57" w:after="57" w:line="360" w:lineRule="auto"/>
        <w:jc w:val="both"/>
        <w:rPr>
          <w:rFonts w:ascii="Times New Roman" w:hAnsi="Times New Roman" w:cs="Times New Roman"/>
          <w:i/>
          <w:iCs/>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4003F8">
        <w:rPr>
          <w:rFonts w:ascii="Times New Roman" w:hAnsi="Times New Roman" w:cs="Times New Roman"/>
          <w:b/>
          <w:bCs/>
          <w:color w:val="000000"/>
        </w:rPr>
        <w:t>Condições de pagamento</w:t>
      </w:r>
    </w:p>
    <w:p w:rsidR="0052623B" w:rsidRPr="004003F8" w:rsidRDefault="0052623B" w:rsidP="0052623B">
      <w:pPr>
        <w:pStyle w:val="Standard"/>
        <w:tabs>
          <w:tab w:val="left" w:pos="270"/>
        </w:tabs>
        <w:spacing w:line="360" w:lineRule="auto"/>
        <w:jc w:val="both"/>
        <w:rPr>
          <w:rFonts w:ascii="Times New Roman"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O CONTRATANTE pagará à CONTRATADA, pelo fornecimento efetivamente executado, até 10 (dez) dias </w:t>
      </w:r>
      <w:proofErr w:type="gramStart"/>
      <w:r w:rsidRPr="004003F8">
        <w:rPr>
          <w:rFonts w:ascii="Times New Roman" w:hAnsi="Times New Roman" w:cs="Times New Roman"/>
        </w:rPr>
        <w:t>úteis ,</w:t>
      </w:r>
      <w:proofErr w:type="gramEnd"/>
      <w:r w:rsidRPr="004003F8">
        <w:rPr>
          <w:rFonts w:ascii="Times New Roman" w:hAnsi="Times New Roman" w:cs="Times New Roman"/>
        </w:rPr>
        <w:t xml:space="preserve"> contados a partir da data de recebimento definitivo do objeto, acompanhada do atesto do Fiscal do Contrato, conforme o disposto nos artigos 67 e 73 da Lei 8.666/93.</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O pagamento será feito por meio de depósito na conta corrente da CONTRATADA, através de Ordem Bancária, mediante apresentação da respectiva Nota Fiscal/Fatura do fornecimento.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Para execução do pagamento de que trata a presente Cláusula, A CONTRATADA </w:t>
      </w:r>
      <w:r w:rsidRPr="004003F8">
        <w:rPr>
          <w:rFonts w:ascii="Times New Roman" w:hAnsi="Times New Roman" w:cs="Times New Roman"/>
        </w:rPr>
        <w:lastRenderedPageBreak/>
        <w:t>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Sobre o valor da nota fiscal, O CONTRATANTE fará as retenções devidas ao INSS e as dos impostos e contribuições previstas na Instrução Normativa SRF nº 1.234, de 11/01/2012.</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apresentação de certidões atrasadas ou irregulares com a nota fiscal ensejará anotação do fiscal em registro próprio e criará pendência a ser sanada pela CONTRATADA.</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Pr="004003F8" w:rsidRDefault="0052623B" w:rsidP="0052623B">
      <w:pPr>
        <w:pStyle w:val="Standard"/>
        <w:tabs>
          <w:tab w:val="left" w:pos="270"/>
        </w:tabs>
        <w:spacing w:line="360" w:lineRule="auto"/>
        <w:jc w:val="both"/>
        <w:rPr>
          <w:rFonts w:ascii="Times New Roman" w:hAnsi="Times New Roman" w:cs="Times New Roman"/>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4003F8">
        <w:rPr>
          <w:rFonts w:ascii="Times New Roman" w:hAnsi="Times New Roman" w:cs="Times New Roman"/>
          <w:b/>
          <w:bCs/>
          <w:color w:val="000000"/>
        </w:rPr>
        <w:t>Das sanções administrativas</w:t>
      </w:r>
    </w:p>
    <w:p w:rsidR="0052623B" w:rsidRPr="004003F8" w:rsidRDefault="0052623B" w:rsidP="0052623B">
      <w:pPr>
        <w:pStyle w:val="Standard"/>
        <w:tabs>
          <w:tab w:val="left" w:pos="270"/>
        </w:tabs>
        <w:spacing w:line="360" w:lineRule="auto"/>
        <w:jc w:val="both"/>
        <w:rPr>
          <w:rFonts w:ascii="Times New Roman"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w:t>
      </w:r>
      <w:r w:rsidRPr="004003F8">
        <w:rPr>
          <w:rFonts w:ascii="Times New Roman" w:hAnsi="Times New Roman" w:cs="Times New Roman"/>
        </w:rPr>
        <w:lastRenderedPageBreak/>
        <w:t>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Advertência;</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Multa, nas seguintes hipóteses e nas demais previstas neste Termo de Referência:</w:t>
      </w:r>
    </w:p>
    <w:p w:rsidR="0052623B" w:rsidRPr="004003F8"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4003F8">
        <w:rPr>
          <w:rFonts w:ascii="Times New Roman" w:hAnsi="Times New Roman" w:cs="Times New Roman"/>
        </w:rPr>
        <w:t>multa moratória de 0,5% sobre o valor total da contratação, por dia de atraso injustificado, limitada sua aplicação até o máximo de 20 dias, situação que poderá caracterizar inexecução parcial do contrato.</w:t>
      </w:r>
    </w:p>
    <w:p w:rsidR="0052623B" w:rsidRPr="004003F8"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4003F8">
        <w:rPr>
          <w:rFonts w:ascii="Times New Roman" w:hAnsi="Times New Roman" w:cs="Times New Roman"/>
        </w:rPr>
        <w:t>Pela caracterização de inexecução parcial do objeto contratado, será aplicada multa de até 20% do valor global do contrato.</w:t>
      </w:r>
    </w:p>
    <w:p w:rsidR="0052623B" w:rsidRPr="004003F8"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4003F8">
        <w:rPr>
          <w:rFonts w:ascii="Times New Roman" w:hAnsi="Times New Roman" w:cs="Times New Roman"/>
        </w:rPr>
        <w:t>Após 40 dias, os bens poderão, a critério do CONTRATANTE, não mais ser aceitos, configurando-se a inexecução total do Contrato, com as consequências previstas em lei e neste instrumento.</w:t>
      </w:r>
    </w:p>
    <w:p w:rsidR="0052623B" w:rsidRPr="004003F8"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4003F8">
        <w:rPr>
          <w:rFonts w:ascii="Times New Roman" w:hAnsi="Times New Roman" w:cs="Times New Roman"/>
        </w:rPr>
        <w:t>Pela caracterização de inexecução total do objeto contratado, será aplicada multa de até 30% do valor global do contrato.</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Suspensão temporária de participação em licitação e impedimento de contratar com o CNMP, por até 02 (dois) anos;</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w:t>
      </w:r>
      <w:r w:rsidRPr="004003F8">
        <w:rPr>
          <w:rFonts w:ascii="Times New Roman" w:hAnsi="Times New Roman" w:cs="Times New Roman"/>
        </w:rPr>
        <w:lastRenderedPageBreak/>
        <w:t>anterior.</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Tenham sofrido condenação definitiva por praticarem, por meios dolosos, fraudes fiscais no recolhimento de quaisquer tributos;</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Tenham praticado atos ilícitos visando a frustrar os objetivos da licitação;</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Demonstrem não possuir idoneidade para contratar com a Administração em virtude de atos ilícitos praticados.</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lastRenderedPageBreak/>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8.666/93).</w:t>
      </w:r>
    </w:p>
    <w:p w:rsidR="0052623B" w:rsidRPr="004003F8" w:rsidRDefault="0052623B" w:rsidP="0052623B">
      <w:pPr>
        <w:pStyle w:val="Standard"/>
        <w:tabs>
          <w:tab w:val="left" w:pos="270"/>
        </w:tabs>
        <w:spacing w:line="360" w:lineRule="auto"/>
        <w:jc w:val="both"/>
        <w:rPr>
          <w:rFonts w:ascii="Times New Roman" w:hAnsi="Times New Roman" w:cs="Times New Roman"/>
          <w:i/>
          <w:iCs/>
        </w:rPr>
      </w:pPr>
    </w:p>
    <w:p w:rsidR="0052623B" w:rsidRPr="004003F8"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4003F8">
        <w:rPr>
          <w:rFonts w:ascii="Times New Roman" w:hAnsi="Times New Roman" w:cs="Times New Roman"/>
          <w:b/>
          <w:bCs/>
          <w:color w:val="000000"/>
        </w:rPr>
        <w:t>Tabela de penalidades</w:t>
      </w:r>
    </w:p>
    <w:p w:rsidR="0052623B" w:rsidRPr="004003F8" w:rsidRDefault="0052623B" w:rsidP="0052623B">
      <w:pPr>
        <w:pStyle w:val="Standard"/>
        <w:tabs>
          <w:tab w:val="left" w:pos="270"/>
        </w:tabs>
        <w:spacing w:line="360" w:lineRule="auto"/>
        <w:jc w:val="both"/>
        <w:rPr>
          <w:rFonts w:ascii="Times New Roman"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A advertência não é </w:t>
      </w:r>
      <w:proofErr w:type="gramStart"/>
      <w:r w:rsidRPr="004003F8">
        <w:rPr>
          <w:rFonts w:ascii="Times New Roman" w:hAnsi="Times New Roman" w:cs="Times New Roman"/>
        </w:rPr>
        <w:t>pressuposto</w:t>
      </w:r>
      <w:proofErr w:type="gramEnd"/>
      <w:r w:rsidRPr="004003F8">
        <w:rPr>
          <w:rFonts w:ascii="Times New Roman" w:hAnsi="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Pr="004003F8" w:rsidRDefault="004237F6"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Não</w:t>
      </w:r>
      <w:r w:rsidR="0052623B" w:rsidRPr="004003F8">
        <w:rPr>
          <w:rFonts w:ascii="Times New Roman" w:hAnsi="Times New Roman" w:cs="Times New Roman"/>
        </w:rPr>
        <w:t xml:space="preserve"> causam prejuízo à Administração;</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 xml:space="preserve">A CONTRATADA após a notificação, </w:t>
      </w:r>
      <w:proofErr w:type="gramStart"/>
      <w:r w:rsidRPr="004003F8">
        <w:rPr>
          <w:rFonts w:ascii="Times New Roman" w:hAnsi="Times New Roman" w:cs="Times New Roman"/>
        </w:rPr>
        <w:t>diligencia</w:t>
      </w:r>
      <w:proofErr w:type="gramEnd"/>
      <w:r w:rsidRPr="004003F8">
        <w:rPr>
          <w:rFonts w:ascii="Times New Roman" w:hAnsi="Times New Roman" w:cs="Times New Roman"/>
        </w:rPr>
        <w:t xml:space="preserve"> para resolver o problema, fornecer o produto ou executar o serviço e</w:t>
      </w:r>
    </w:p>
    <w:p w:rsidR="0052623B" w:rsidRPr="004003F8" w:rsidRDefault="004237F6"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Nas</w:t>
      </w:r>
      <w:r w:rsidR="0052623B" w:rsidRPr="004003F8">
        <w:rPr>
          <w:rFonts w:ascii="Times New Roman" w:hAnsi="Times New Roman" w:cs="Times New Roman"/>
        </w:rPr>
        <w:t xml:space="preserve"> hipóteses que há elementos que sugerem que A CONTRATADA corrigirá seu procedimento.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A suspensão temporária de participação em licitação e impedimento de contratar com o CNMP poderá ser aplicada nas hipóteses previstas no Art. 88 da Lei nº 8.666/93 </w:t>
      </w:r>
      <w:proofErr w:type="gramStart"/>
      <w:r w:rsidRPr="004003F8">
        <w:rPr>
          <w:rFonts w:ascii="Times New Roman" w:hAnsi="Times New Roman" w:cs="Times New Roman"/>
        </w:rPr>
        <w:t>e também</w:t>
      </w:r>
      <w:proofErr w:type="gramEnd"/>
      <w:r w:rsidRPr="004003F8">
        <w:rPr>
          <w:rFonts w:ascii="Times New Roman" w:hAnsi="Times New Roman" w:cs="Times New Roman"/>
        </w:rPr>
        <w:t xml:space="preserve"> nas seguintes:</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Descumprimento reiterado de obrigações fiscais e</w:t>
      </w:r>
    </w:p>
    <w:p w:rsidR="0052623B" w:rsidRPr="004003F8"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4003F8">
        <w:rPr>
          <w:rFonts w:ascii="Times New Roman" w:hAnsi="Times New Roman" w:cs="Times New Roman"/>
        </w:rPr>
        <w:t>Cometimento de infrações graves, muito graves e gravíssimas, considerando os prejuízos causados à CONTRATANTE e as circunstâncias no caso concreto.</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 xml:space="preserve">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w:t>
      </w:r>
      <w:r w:rsidRPr="004003F8">
        <w:rPr>
          <w:rFonts w:ascii="Times New Roman" w:hAnsi="Times New Roman" w:cs="Times New Roman"/>
        </w:rPr>
        <w:lastRenderedPageBreak/>
        <w:t>fraude fiscal.</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 multa poderá ser acumulada com quaisquer outras sanções e será aplicada na seguinte forma:</w:t>
      </w:r>
    </w:p>
    <w:p w:rsidR="0052623B" w:rsidRPr="004003F8" w:rsidRDefault="0052623B" w:rsidP="0052623B">
      <w:pPr>
        <w:pStyle w:val="Standard"/>
        <w:widowControl/>
        <w:tabs>
          <w:tab w:val="left" w:pos="70"/>
        </w:tabs>
        <w:spacing w:before="57" w:after="57" w:line="360" w:lineRule="auto"/>
        <w:jc w:val="center"/>
        <w:rPr>
          <w:rFonts w:ascii="Times New Roman" w:eastAsia="Lucida Sans Unicode" w:hAnsi="Times New Roman" w:cs="Times New Roman"/>
          <w:b/>
          <w:bCs/>
          <w:lang w:eastAsia="en-US"/>
        </w:rPr>
      </w:pPr>
      <w:r w:rsidRPr="004003F8">
        <w:rPr>
          <w:rFonts w:ascii="Times New Roman" w:eastAsia="Lucida Sans Unicode" w:hAnsi="Times New Roman"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RPr="004003F8"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b/>
                <w:bCs/>
              </w:rPr>
            </w:pPr>
            <w:r w:rsidRPr="004003F8">
              <w:rPr>
                <w:rFonts w:ascii="Times New Roman" w:hAnsi="Times New Roman"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b/>
                <w:bCs/>
              </w:rPr>
            </w:pPr>
            <w:r w:rsidRPr="004003F8">
              <w:rPr>
                <w:rFonts w:ascii="Times New Roman" w:hAnsi="Times New Roman" w:cs="Times New Roman"/>
                <w:b/>
                <w:bCs/>
              </w:rPr>
              <w:t>MULTA (% sobre o valor global do contrato)</w:t>
            </w:r>
          </w:p>
        </w:tc>
      </w:tr>
      <w:tr w:rsidR="0052623B" w:rsidRPr="004003F8"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jc w:val="both"/>
              <w:rPr>
                <w:rFonts w:ascii="Times New Roman" w:eastAsia="TTE4D8A148t00" w:hAnsi="Times New Roman" w:cs="Times New Roman"/>
                <w:color w:val="000000"/>
              </w:rPr>
            </w:pPr>
            <w:r w:rsidRPr="004003F8">
              <w:rPr>
                <w:rFonts w:ascii="Times New Roman" w:eastAsia="TTE4D8A148t00" w:hAnsi="Times New Roman" w:cs="Times New Roman"/>
                <w:color w:val="000000"/>
              </w:rPr>
              <w:t>1) apresentação de documentação falsa</w:t>
            </w:r>
          </w:p>
          <w:p w:rsidR="0052623B" w:rsidRPr="004003F8" w:rsidRDefault="0052623B" w:rsidP="007213F6">
            <w:pPr>
              <w:pStyle w:val="Standard"/>
              <w:spacing w:before="57" w:after="57"/>
              <w:jc w:val="both"/>
              <w:rPr>
                <w:rFonts w:ascii="Times New Roman" w:eastAsia="TTE4D8A148t00" w:hAnsi="Times New Roman" w:cs="Times New Roman"/>
                <w:color w:val="000000"/>
              </w:rPr>
            </w:pPr>
            <w:r w:rsidRPr="004003F8">
              <w:rPr>
                <w:rFonts w:ascii="Times New Roman" w:eastAsia="TTE4D8A148t00" w:hAnsi="Times New Roman" w:cs="Times New Roman"/>
                <w:color w:val="000000"/>
              </w:rPr>
              <w:t>2) fraude na execução contratual</w:t>
            </w:r>
          </w:p>
          <w:p w:rsidR="0052623B" w:rsidRPr="004003F8" w:rsidRDefault="0052623B" w:rsidP="007213F6">
            <w:pPr>
              <w:pStyle w:val="Standard"/>
              <w:spacing w:before="57" w:after="57"/>
              <w:jc w:val="both"/>
              <w:rPr>
                <w:rFonts w:ascii="Times New Roman" w:eastAsia="TTE4D8A148t00" w:hAnsi="Times New Roman" w:cs="Times New Roman"/>
                <w:color w:val="000000"/>
              </w:rPr>
            </w:pPr>
            <w:r w:rsidRPr="004003F8">
              <w:rPr>
                <w:rFonts w:ascii="Times New Roman" w:eastAsia="TTE4D8A148t00" w:hAnsi="Times New Roman" w:cs="Times New Roman"/>
                <w:color w:val="000000"/>
              </w:rPr>
              <w:t>3) comportamento inidôneo</w:t>
            </w:r>
          </w:p>
          <w:p w:rsidR="0052623B" w:rsidRPr="004003F8" w:rsidRDefault="0052623B" w:rsidP="007213F6">
            <w:pPr>
              <w:pStyle w:val="Standard"/>
              <w:spacing w:before="57" w:after="57"/>
              <w:jc w:val="both"/>
              <w:rPr>
                <w:rFonts w:ascii="Times New Roman" w:eastAsia="TTE4D8A148t00" w:hAnsi="Times New Roman" w:cs="Times New Roman"/>
                <w:color w:val="000000"/>
              </w:rPr>
            </w:pPr>
            <w:r w:rsidRPr="004003F8">
              <w:rPr>
                <w:rFonts w:ascii="Times New Roman" w:eastAsia="TTE4D8A148t00" w:hAnsi="Times New Roman" w:cs="Times New Roman"/>
                <w:color w:val="000000"/>
              </w:rPr>
              <w:t>4) fraude fiscal</w:t>
            </w:r>
          </w:p>
          <w:p w:rsidR="0052623B" w:rsidRPr="004003F8" w:rsidRDefault="0052623B" w:rsidP="007213F6">
            <w:pPr>
              <w:pStyle w:val="Standard"/>
              <w:spacing w:before="57" w:after="57"/>
              <w:jc w:val="both"/>
              <w:rPr>
                <w:rFonts w:ascii="Times New Roman" w:eastAsia="TTE4D8A148t00" w:hAnsi="Times New Roman" w:cs="Times New Roman"/>
                <w:color w:val="000000"/>
              </w:rPr>
            </w:pPr>
            <w:r w:rsidRPr="004003F8">
              <w:rPr>
                <w:rFonts w:ascii="Times New Roman" w:eastAsia="TTE4D8A148t00" w:hAnsi="Times New Roman"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autoSpaceDE w:val="0"/>
              <w:spacing w:before="57" w:after="57"/>
              <w:jc w:val="center"/>
              <w:rPr>
                <w:rFonts w:ascii="Times New Roman" w:hAnsi="Times New Roman" w:cs="Times New Roman"/>
              </w:rPr>
            </w:pPr>
          </w:p>
          <w:p w:rsidR="0052623B" w:rsidRPr="004003F8" w:rsidRDefault="0052623B" w:rsidP="007213F6">
            <w:pPr>
              <w:pStyle w:val="Standard"/>
              <w:autoSpaceDE w:val="0"/>
              <w:spacing w:before="57" w:after="57"/>
              <w:jc w:val="center"/>
              <w:rPr>
                <w:rFonts w:ascii="Times New Roman" w:hAnsi="Times New Roman" w:cs="Times New Roman"/>
              </w:rPr>
            </w:pPr>
          </w:p>
          <w:p w:rsidR="0052623B" w:rsidRPr="004003F8" w:rsidRDefault="0052623B" w:rsidP="007213F6">
            <w:pPr>
              <w:pStyle w:val="Standard"/>
              <w:autoSpaceDE w:val="0"/>
              <w:spacing w:before="57" w:after="57"/>
              <w:jc w:val="center"/>
              <w:rPr>
                <w:rFonts w:ascii="Times New Roman" w:hAnsi="Times New Roman" w:cs="Times New Roman"/>
              </w:rPr>
            </w:pPr>
            <w:r w:rsidRPr="004003F8">
              <w:rPr>
                <w:rFonts w:ascii="Times New Roman" w:hAnsi="Times New Roman" w:cs="Times New Roman"/>
              </w:rPr>
              <w:t>Até 30% (trinta por cento)</w:t>
            </w:r>
          </w:p>
        </w:tc>
      </w:tr>
      <w:tr w:rsidR="0052623B" w:rsidRPr="004003F8"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jc w:val="both"/>
              <w:rPr>
                <w:rFonts w:ascii="Times New Roman" w:eastAsia="TTE4D8A148t00" w:hAnsi="Times New Roman" w:cs="Times New Roman"/>
              </w:rPr>
            </w:pPr>
            <w:r w:rsidRPr="004003F8">
              <w:rPr>
                <w:rFonts w:ascii="Times New Roman" w:eastAsia="TTE4D8A148t00" w:hAnsi="Times New Roman" w:cs="Times New Roman"/>
              </w:rPr>
              <w:t>6) inexecução parcial</w:t>
            </w:r>
          </w:p>
          <w:p w:rsidR="0052623B" w:rsidRPr="004003F8" w:rsidRDefault="0052623B" w:rsidP="007213F6">
            <w:pPr>
              <w:pStyle w:val="Standard"/>
              <w:spacing w:before="57" w:after="57"/>
              <w:jc w:val="both"/>
              <w:rPr>
                <w:rFonts w:ascii="Times New Roman" w:eastAsia="TTE4D8A148t00" w:hAnsi="Times New Roman" w:cs="Times New Roman"/>
              </w:rPr>
            </w:pPr>
            <w:r w:rsidRPr="004003F8">
              <w:rPr>
                <w:rFonts w:ascii="Times New Roman" w:eastAsia="TTE4D8A148t00" w:hAnsi="Times New Roman"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autoSpaceDE w:val="0"/>
              <w:spacing w:before="57" w:after="57"/>
              <w:jc w:val="center"/>
              <w:rPr>
                <w:rFonts w:ascii="Times New Roman" w:eastAsia="TTE4D8A148t00" w:hAnsi="Times New Roman" w:cs="Times New Roman"/>
              </w:rPr>
            </w:pPr>
            <w:r w:rsidRPr="004003F8">
              <w:rPr>
                <w:rFonts w:ascii="Times New Roman" w:eastAsia="TTE4D8A148t00" w:hAnsi="Times New Roman" w:cs="Times New Roman"/>
              </w:rPr>
              <w:t>Até 20% (vinte por cento)</w:t>
            </w:r>
          </w:p>
        </w:tc>
      </w:tr>
    </w:tbl>
    <w:p w:rsidR="0052623B" w:rsidRPr="004003F8" w:rsidRDefault="0052623B" w:rsidP="0052623B">
      <w:pPr>
        <w:pStyle w:val="Standard"/>
        <w:widowControl/>
        <w:tabs>
          <w:tab w:val="left" w:pos="70"/>
        </w:tabs>
        <w:spacing w:before="57" w:after="57" w:line="360" w:lineRule="auto"/>
        <w:jc w:val="center"/>
        <w:rPr>
          <w:rFonts w:ascii="Times New Roman"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hAnsi="Times New Roman" w:cs="Times New Roman"/>
        </w:rPr>
        <w:t>Além dessas, serão aplicadas multas, conforme as infrações cometidas e o nível de gravidade respectivo, indicados nas tabelas a seguir:</w:t>
      </w:r>
    </w:p>
    <w:p w:rsidR="0052623B" w:rsidRPr="004003F8" w:rsidRDefault="0052623B" w:rsidP="0052623B">
      <w:pPr>
        <w:pStyle w:val="Standard"/>
        <w:autoSpaceDE w:val="0"/>
        <w:spacing w:before="57" w:after="57" w:line="360" w:lineRule="auto"/>
        <w:jc w:val="center"/>
        <w:rPr>
          <w:rFonts w:ascii="Times New Roman" w:hAnsi="Times New Roman" w:cs="Times New Roman"/>
        </w:rPr>
      </w:pPr>
      <w:r w:rsidRPr="004003F8">
        <w:rPr>
          <w:rFonts w:ascii="Times New Roman" w:eastAsia="TTE4D8A148t00" w:hAnsi="Times New Roman" w:cs="Times New Roman"/>
          <w:b/>
          <w:bCs/>
        </w:rPr>
        <w:t>Tabela 2: Classificação das infrações e multas</w:t>
      </w:r>
      <w:r w:rsidRPr="004003F8">
        <w:rPr>
          <w:rFonts w:ascii="Times New Roman" w:hAnsi="Times New Roman"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RPr="004003F8"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hd w:val="clear" w:color="auto" w:fill="999999"/>
              <w:spacing w:before="57" w:after="57" w:line="360" w:lineRule="auto"/>
              <w:jc w:val="center"/>
              <w:rPr>
                <w:rFonts w:ascii="Times New Roman" w:hAnsi="Times New Roman" w:cs="Times New Roman"/>
                <w:b/>
                <w:bCs/>
              </w:rPr>
            </w:pPr>
            <w:r w:rsidRPr="004003F8">
              <w:rPr>
                <w:rFonts w:ascii="Times New Roman" w:hAnsi="Times New Roman"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uppressLineNumbers/>
              <w:shd w:val="clear" w:color="auto" w:fill="999999"/>
              <w:spacing w:before="57" w:after="57" w:line="360" w:lineRule="auto"/>
              <w:jc w:val="center"/>
              <w:rPr>
                <w:rFonts w:ascii="Times New Roman" w:hAnsi="Times New Roman" w:cs="Times New Roman"/>
                <w:b/>
                <w:bCs/>
              </w:rPr>
            </w:pPr>
            <w:r w:rsidRPr="004003F8">
              <w:rPr>
                <w:rFonts w:ascii="Times New Roman" w:hAnsi="Times New Roman" w:cs="Times New Roman"/>
                <w:b/>
                <w:bCs/>
              </w:rPr>
              <w:t>CORRESPONDÊNCIA</w:t>
            </w:r>
          </w:p>
          <w:p w:rsidR="0052623B" w:rsidRPr="004003F8" w:rsidRDefault="0052623B" w:rsidP="007213F6">
            <w:pPr>
              <w:pStyle w:val="Standard"/>
              <w:suppressLineNumbers/>
              <w:shd w:val="clear" w:color="auto" w:fill="999999"/>
              <w:spacing w:before="57" w:after="57" w:line="360" w:lineRule="auto"/>
              <w:jc w:val="center"/>
              <w:rPr>
                <w:rFonts w:ascii="Times New Roman" w:hAnsi="Times New Roman" w:cs="Times New Roman"/>
              </w:rPr>
            </w:pPr>
            <w:r w:rsidRPr="004003F8">
              <w:rPr>
                <w:rFonts w:ascii="Times New Roman" w:hAnsi="Times New Roman" w:cs="Times New Roman"/>
              </w:rPr>
              <w:t>(por ocorrência sobre o valor global do contratado)</w:t>
            </w:r>
          </w:p>
        </w:tc>
      </w:tr>
      <w:tr w:rsidR="0052623B" w:rsidRPr="004003F8"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0,2%.</w:t>
            </w:r>
          </w:p>
        </w:tc>
      </w:tr>
      <w:tr w:rsidR="0052623B" w:rsidRPr="004003F8"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lastRenderedPageBreak/>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0,4%.</w:t>
            </w:r>
          </w:p>
        </w:tc>
      </w:tr>
      <w:tr w:rsidR="0052623B" w:rsidRPr="004003F8"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0,8%.</w:t>
            </w:r>
          </w:p>
        </w:tc>
      </w:tr>
      <w:tr w:rsidR="0052623B" w:rsidRPr="004003F8"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1,6%.</w:t>
            </w:r>
          </w:p>
        </w:tc>
      </w:tr>
      <w:tr w:rsidR="0052623B" w:rsidRPr="004003F8"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3,2%.</w:t>
            </w:r>
          </w:p>
        </w:tc>
      </w:tr>
      <w:tr w:rsidR="0052623B" w:rsidRPr="004003F8"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hAnsi="Times New Roman" w:cs="Times New Roman"/>
              </w:rPr>
            </w:pPr>
            <w:r w:rsidRPr="004003F8">
              <w:rPr>
                <w:rFonts w:ascii="Times New Roman" w:hAnsi="Times New Roman" w:cs="Times New Roman"/>
              </w:rPr>
              <w:t>4%.</w:t>
            </w:r>
          </w:p>
        </w:tc>
      </w:tr>
    </w:tbl>
    <w:p w:rsidR="0052623B" w:rsidRPr="004003F8" w:rsidRDefault="0052623B" w:rsidP="0052623B">
      <w:pPr>
        <w:pStyle w:val="Standard"/>
        <w:autoSpaceDE w:val="0"/>
        <w:spacing w:before="57" w:after="57" w:line="360" w:lineRule="auto"/>
        <w:jc w:val="both"/>
        <w:rPr>
          <w:rFonts w:ascii="Times New Roman" w:eastAsia="TTE4D8A148t00" w:hAnsi="Times New Roman" w:cs="Times New Roman"/>
        </w:rPr>
      </w:pPr>
    </w:p>
    <w:p w:rsidR="0052623B" w:rsidRPr="004003F8"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4003F8">
        <w:rPr>
          <w:rFonts w:ascii="Times New Roman" w:eastAsia="TTE4D8A148t00" w:hAnsi="Times New Roman" w:cs="Times New Roman"/>
        </w:rPr>
        <w:t>Todas as ocorrências contratuais serão registradas pelo CONTRANTE, que notificará A CONTRATADA dos registros. Serão atribuídos níveis para as ocorrências, conforme tabela abaixo:</w:t>
      </w:r>
    </w:p>
    <w:p w:rsidR="0052623B" w:rsidRPr="004003F8" w:rsidRDefault="0052623B" w:rsidP="0052623B">
      <w:pPr>
        <w:pStyle w:val="Standard"/>
        <w:tabs>
          <w:tab w:val="left" w:pos="270"/>
        </w:tabs>
        <w:spacing w:line="360" w:lineRule="auto"/>
        <w:jc w:val="both"/>
        <w:rPr>
          <w:rFonts w:ascii="Times New Roman" w:hAnsi="Times New Roman" w:cs="Times New Roman"/>
        </w:rPr>
      </w:pPr>
    </w:p>
    <w:p w:rsidR="0052623B" w:rsidRPr="004003F8" w:rsidRDefault="0052623B" w:rsidP="0052623B">
      <w:pPr>
        <w:pStyle w:val="Standard"/>
        <w:autoSpaceDE w:val="0"/>
        <w:spacing w:before="57" w:after="57" w:line="360" w:lineRule="auto"/>
        <w:jc w:val="center"/>
        <w:rPr>
          <w:rFonts w:ascii="Times New Roman" w:hAnsi="Times New Roman" w:cs="Times New Roman"/>
          <w:b/>
          <w:bCs/>
        </w:rPr>
      </w:pPr>
      <w:r w:rsidRPr="004003F8">
        <w:rPr>
          <w:rFonts w:ascii="Times New Roman" w:hAnsi="Times New Roman"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RPr="004003F8"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4003F8">
              <w:rPr>
                <w:rFonts w:ascii="Times New Roman" w:eastAsia="ZurichBT-Light" w:hAnsi="Times New Roman" w:cs="Times New Roman"/>
                <w:b/>
                <w:shd w:val="clear" w:color="auto" w:fill="999999"/>
              </w:rPr>
              <w:t>INFRAÇÃO</w:t>
            </w:r>
          </w:p>
        </w:tc>
      </w:tr>
      <w:tr w:rsidR="0052623B" w:rsidRPr="004003F8"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b/>
              </w:rPr>
            </w:pPr>
            <w:r w:rsidRPr="004003F8">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b/>
              </w:rPr>
            </w:pPr>
            <w:r w:rsidRPr="004003F8">
              <w:rPr>
                <w:rFonts w:ascii="Times New Roman" w:eastAsia="ZurichBT-Light" w:hAnsi="Times New Roman"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b/>
              </w:rPr>
            </w:pPr>
            <w:r w:rsidRPr="004003F8">
              <w:rPr>
                <w:rFonts w:ascii="Times New Roman" w:eastAsia="ZurichBT-Light" w:hAnsi="Times New Roman" w:cs="Times New Roman"/>
                <w:b/>
              </w:rPr>
              <w:t>Nível</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4003F8">
              <w:rPr>
                <w:rFonts w:ascii="Times New Roman" w:eastAsia="ZurichBT-Light" w:hAnsi="Times New Roman"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6</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4003F8">
              <w:rPr>
                <w:rFonts w:ascii="Times New Roman" w:eastAsia="ZurichBT-Light" w:hAnsi="Times New Roman"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6</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s>
              <w:suppressAutoHyphens w:val="0"/>
              <w:autoSpaceDE w:val="0"/>
              <w:spacing w:before="57" w:after="57" w:line="360" w:lineRule="auto"/>
              <w:jc w:val="both"/>
              <w:rPr>
                <w:rFonts w:ascii="Times New Roman" w:hAnsi="Times New Roman" w:cs="Times New Roman"/>
              </w:rPr>
            </w:pPr>
            <w:r w:rsidRPr="004003F8">
              <w:rPr>
                <w:rFonts w:ascii="Times New Roman" w:eastAsia="ZurichBT-Light" w:hAnsi="Times New Roman" w:cs="Times New Roman"/>
                <w:color w:val="000000"/>
              </w:rPr>
              <w:t>R</w:t>
            </w:r>
            <w:r w:rsidRPr="004003F8">
              <w:rPr>
                <w:rFonts w:ascii="Times New Roman" w:eastAsia="Lucida Sans Unicode" w:hAnsi="Times New Roman"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5</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4003F8">
              <w:rPr>
                <w:rFonts w:ascii="Times New Roman" w:eastAsia="Lucida Sans Unicode" w:hAnsi="Times New Roman" w:cs="Times New Roman"/>
                <w:color w:val="000000"/>
              </w:rPr>
              <w:t xml:space="preserve">Utilizar o nome do CONTRATANTE, ou sua qualidade de CONTRATADA, em quaisquer atividades de divulgação empresarial, como, por exemplo, em </w:t>
            </w:r>
            <w:r w:rsidRPr="004003F8">
              <w:rPr>
                <w:rFonts w:ascii="Times New Roman" w:eastAsia="Lucida Sans Unicode" w:hAnsi="Times New Roman" w:cs="Times New Roman"/>
                <w:color w:val="000000"/>
              </w:rPr>
              <w:lastRenderedPageBreak/>
              <w:t>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lastRenderedPageBreak/>
              <w:t>5</w:t>
            </w:r>
          </w:p>
        </w:tc>
      </w:tr>
      <w:tr w:rsidR="0052623B" w:rsidRPr="004003F8"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4003F8">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4</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4003F8">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6</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4003F8">
              <w:rPr>
                <w:rFonts w:ascii="Times New Roman" w:eastAsia="ZurichBT-Light" w:hAnsi="Times New Roman"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5</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509"/>
                <w:tab w:val="left" w:pos="2068"/>
              </w:tabs>
              <w:suppressAutoHyphens w:val="0"/>
              <w:spacing w:before="57" w:after="57" w:line="360" w:lineRule="auto"/>
              <w:ind w:left="83" w:right="-5" w:hanging="360"/>
              <w:jc w:val="both"/>
              <w:rPr>
                <w:rFonts w:ascii="Times New Roman" w:hAnsi="Times New Roman" w:cs="Times New Roman"/>
              </w:rPr>
            </w:pPr>
            <w:r w:rsidRPr="004003F8">
              <w:rPr>
                <w:rFonts w:ascii="Times New Roman" w:eastAsia="ZurichBT-Light" w:hAnsi="Times New Roman" w:cs="Times New Roman"/>
                <w:color w:val="000000"/>
              </w:rPr>
              <w:t>Deixar de m</w:t>
            </w:r>
            <w:r w:rsidRPr="004003F8">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t>6</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426"/>
              </w:tabs>
              <w:spacing w:before="57" w:after="57" w:line="360" w:lineRule="auto"/>
              <w:jc w:val="both"/>
              <w:rPr>
                <w:rFonts w:ascii="Times New Roman" w:hAnsi="Times New Roman" w:cs="Times New Roman"/>
              </w:rPr>
            </w:pPr>
            <w:r w:rsidRPr="004003F8">
              <w:rPr>
                <w:rFonts w:ascii="Times New Roman" w:eastAsia="ZurichBT-Light" w:hAnsi="Times New Roman" w:cs="Times New Roman"/>
                <w:color w:val="000000"/>
              </w:rPr>
              <w:t>Deixar de d</w:t>
            </w:r>
            <w:r w:rsidRPr="004003F8">
              <w:rPr>
                <w:rFonts w:ascii="Times New Roman" w:eastAsia="Lucida Sans Unicode" w:hAnsi="Times New Roman" w:cs="Times New Roman"/>
              </w:rPr>
              <w:t xml:space="preserve">isponibilizar e manter atualizados conta de </w:t>
            </w:r>
            <w:r w:rsidRPr="004003F8">
              <w:rPr>
                <w:rFonts w:ascii="Times New Roman" w:eastAsia="Lucida Sans Unicode" w:hAnsi="Times New Roman" w:cs="Times New Roman"/>
                <w:i/>
              </w:rPr>
              <w:t xml:space="preserve">e-mail, </w:t>
            </w:r>
            <w:r w:rsidRPr="004003F8">
              <w:rPr>
                <w:rFonts w:ascii="Times New Roman" w:eastAsia="Lucida Sans Unicode" w:hAnsi="Times New Roman" w:cs="Times New Roman"/>
              </w:rPr>
              <w:t>endereço e telefones comerciais</w:t>
            </w:r>
            <w:r w:rsidRPr="004003F8">
              <w:rPr>
                <w:rFonts w:ascii="Times New Roman" w:eastAsia="Lucida Sans Unicode" w:hAnsi="Times New Roman" w:cs="Times New Roman"/>
                <w:i/>
              </w:rPr>
              <w:t xml:space="preserve"> </w:t>
            </w:r>
            <w:r w:rsidRPr="004003F8">
              <w:rPr>
                <w:rFonts w:ascii="Times New Roman" w:eastAsia="Lucida Sans Unicode" w:hAnsi="Times New Roman"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hAnsi="Times New Roman" w:cs="Times New Roman"/>
              </w:rPr>
            </w:pPr>
            <w:r w:rsidRPr="004003F8">
              <w:rPr>
                <w:rFonts w:ascii="Times New Roman" w:hAnsi="Times New Roman" w:cs="Times New Roman"/>
              </w:rPr>
              <w:t>3</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004003F8">
              <w:rPr>
                <w:rFonts w:ascii="Times New Roman" w:eastAsia="ZurichBT-Light" w:hAnsi="Times New Roman"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4</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4003F8">
              <w:rPr>
                <w:rFonts w:ascii="Times New Roman" w:eastAsia="Lucida Sans Unicode" w:hAnsi="Times New Roman"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5</w:t>
            </w:r>
          </w:p>
        </w:tc>
      </w:tr>
      <w:tr w:rsidR="0052623B" w:rsidRPr="004003F8"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4003F8">
              <w:rPr>
                <w:rFonts w:ascii="Times New Roman" w:eastAsia="Lucida Sans Unicode" w:hAnsi="Times New Roman"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pacing w:before="57" w:after="57" w:line="360" w:lineRule="auto"/>
              <w:jc w:val="center"/>
              <w:rPr>
                <w:rFonts w:ascii="Times New Roman" w:eastAsia="ZurichBT-Light" w:hAnsi="Times New Roman" w:cs="Times New Roman"/>
              </w:rPr>
            </w:pPr>
            <w:r w:rsidRPr="004003F8">
              <w:rPr>
                <w:rFonts w:ascii="Times New Roman" w:eastAsia="ZurichBT-Light" w:hAnsi="Times New Roman" w:cs="Times New Roman"/>
              </w:rPr>
              <w:t>5</w:t>
            </w:r>
          </w:p>
        </w:tc>
      </w:tr>
    </w:tbl>
    <w:p w:rsidR="0052623B" w:rsidRPr="004003F8" w:rsidRDefault="0052623B" w:rsidP="0052623B">
      <w:pPr>
        <w:pStyle w:val="Standard"/>
        <w:autoSpaceDE w:val="0"/>
        <w:spacing w:before="57" w:after="57" w:line="360" w:lineRule="auto"/>
        <w:jc w:val="both"/>
        <w:rPr>
          <w:rFonts w:ascii="Times New Roman" w:eastAsia="TTE4D8A148t00" w:hAnsi="Times New Roman" w:cs="Times New Roman"/>
          <w:color w:val="000000"/>
        </w:rPr>
      </w:pPr>
    </w:p>
    <w:p w:rsidR="0052623B" w:rsidRPr="004003F8"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4003F8">
        <w:rPr>
          <w:rFonts w:ascii="Times New Roman" w:eastAsia="TTE4D8A148t00" w:hAnsi="Times New Roman" w:cs="Times New Roman"/>
        </w:rPr>
        <w:t>Em caso de registro de infração na qual A CONTRATADA apresente justificativa razoável e aceita pelo fiscal do CONTRATO, o nível da infração poderá ser desconsiderado ou inserido em uma categoria de menor gravidade.</w:t>
      </w:r>
    </w:p>
    <w:p w:rsidR="0052623B" w:rsidRPr="004003F8"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4003F8">
        <w:rPr>
          <w:rFonts w:ascii="Times New Roman" w:eastAsia="TTE4D8A148t00" w:hAnsi="Times New Roman" w:cs="Times New Roman"/>
        </w:rPr>
        <w:t xml:space="preserve">A inexecução parcial ou total do contrato será configurada, entre outras hipóteses, na </w:t>
      </w:r>
      <w:r w:rsidRPr="004003F8">
        <w:rPr>
          <w:rFonts w:ascii="Times New Roman" w:eastAsia="TTE4D8A148t00" w:hAnsi="Times New Roman" w:cs="Times New Roman"/>
        </w:rPr>
        <w:lastRenderedPageBreak/>
        <w:t>ocorrência de, pelo menos, uma das seguintes situações:</w:t>
      </w:r>
    </w:p>
    <w:p w:rsidR="0052623B" w:rsidRPr="004003F8" w:rsidRDefault="0052623B" w:rsidP="0052623B">
      <w:pPr>
        <w:pStyle w:val="Standard"/>
        <w:autoSpaceDE w:val="0"/>
        <w:spacing w:before="57" w:after="57" w:line="360" w:lineRule="auto"/>
        <w:jc w:val="center"/>
        <w:rPr>
          <w:rFonts w:ascii="Times New Roman" w:eastAsia="TTE4D8A148t00" w:hAnsi="Times New Roman" w:cs="Times New Roman"/>
          <w:b/>
          <w:bCs/>
        </w:rPr>
      </w:pPr>
      <w:r w:rsidRPr="004003F8">
        <w:rPr>
          <w:rFonts w:ascii="Times New Roman" w:eastAsia="TTE4D8A148t00" w:hAnsi="Times New Roman"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RPr="004003F8"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hd w:val="clear" w:color="auto" w:fill="999999"/>
              <w:spacing w:before="57" w:after="57" w:line="360" w:lineRule="auto"/>
              <w:jc w:val="center"/>
              <w:rPr>
                <w:rFonts w:ascii="Times New Roman" w:eastAsia="TTE4D8A148t00" w:hAnsi="Times New Roman" w:cs="Times New Roman"/>
                <w:b/>
                <w:bCs/>
              </w:rPr>
            </w:pPr>
          </w:p>
          <w:p w:rsidR="0052623B" w:rsidRPr="004003F8"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4003F8">
              <w:rPr>
                <w:rFonts w:ascii="Times New Roman" w:eastAsia="TTE4D8A148t00" w:hAnsi="Times New Roman"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4003F8">
              <w:rPr>
                <w:rFonts w:ascii="Times New Roman" w:eastAsia="TTE4D8A148t00" w:hAnsi="Times New Roman" w:cs="Times New Roman"/>
                <w:b/>
                <w:bCs/>
              </w:rPr>
              <w:t>QUANTIDADE DE INFRAÇÕES</w:t>
            </w:r>
          </w:p>
        </w:tc>
      </w:tr>
      <w:tr w:rsidR="0052623B" w:rsidRPr="004003F8"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4003F8" w:rsidRDefault="0052623B" w:rsidP="007213F6">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4003F8">
              <w:rPr>
                <w:rFonts w:ascii="Times New Roman" w:eastAsia="TTE4D8A148t00" w:hAnsi="Times New Roman"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4003F8"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4003F8">
              <w:rPr>
                <w:rFonts w:ascii="Times New Roman" w:eastAsia="TTE4D8A148t00" w:hAnsi="Times New Roman" w:cs="Times New Roman"/>
                <w:b/>
                <w:bCs/>
              </w:rPr>
              <w:t>Inexecução Total</w:t>
            </w:r>
          </w:p>
        </w:tc>
      </w:tr>
      <w:tr w:rsidR="0052623B" w:rsidRPr="004003F8"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proofErr w:type="gramStart"/>
            <w:r w:rsidRPr="004003F8">
              <w:rPr>
                <w:rFonts w:ascii="Times New Roman" w:eastAsia="TTE4D8A148t00" w:hAnsi="Times New Roman" w:cs="Times New Roman"/>
              </w:rPr>
              <w:t>7  a</w:t>
            </w:r>
            <w:proofErr w:type="gramEnd"/>
            <w:r w:rsidRPr="004003F8">
              <w:rPr>
                <w:rFonts w:ascii="Times New Roman" w:eastAsia="TTE4D8A148t00" w:hAnsi="Times New Roman" w:cs="Times New Roman"/>
              </w:rPr>
              <w:t xml:space="preserve">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12 ou mais</w:t>
            </w:r>
          </w:p>
        </w:tc>
      </w:tr>
      <w:tr w:rsidR="0052623B" w:rsidRPr="004003F8"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11 ou mais</w:t>
            </w:r>
          </w:p>
        </w:tc>
      </w:tr>
      <w:tr w:rsidR="0052623B" w:rsidRPr="004003F8"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10 ou mais</w:t>
            </w:r>
          </w:p>
        </w:tc>
      </w:tr>
      <w:tr w:rsidR="0052623B" w:rsidRPr="004003F8"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7 ou mais</w:t>
            </w:r>
          </w:p>
        </w:tc>
      </w:tr>
      <w:tr w:rsidR="0052623B" w:rsidRPr="004003F8"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5 ou mais</w:t>
            </w:r>
          </w:p>
        </w:tc>
      </w:tr>
      <w:tr w:rsidR="0052623B" w:rsidRPr="004003F8"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4003F8" w:rsidRDefault="0052623B" w:rsidP="007213F6">
            <w:pPr>
              <w:pStyle w:val="Standard"/>
              <w:suppressLineNumbers/>
              <w:spacing w:before="57" w:after="57" w:line="360" w:lineRule="auto"/>
              <w:jc w:val="center"/>
              <w:rPr>
                <w:rFonts w:ascii="Times New Roman" w:eastAsia="TTE4D8A148t00" w:hAnsi="Times New Roman" w:cs="Times New Roman"/>
              </w:rPr>
            </w:pPr>
            <w:r w:rsidRPr="004003F8">
              <w:rPr>
                <w:rFonts w:ascii="Times New Roman" w:eastAsia="TTE4D8A148t00" w:hAnsi="Times New Roman" w:cs="Times New Roman"/>
              </w:rPr>
              <w:t>3 ou mais</w:t>
            </w:r>
          </w:p>
        </w:tc>
      </w:tr>
    </w:tbl>
    <w:p w:rsidR="0052623B" w:rsidRPr="004003F8" w:rsidRDefault="0052623B" w:rsidP="0052623B">
      <w:pPr>
        <w:pStyle w:val="texto"/>
        <w:spacing w:line="100" w:lineRule="atLeast"/>
        <w:jc w:val="center"/>
        <w:rPr>
          <w:b/>
          <w:sz w:val="24"/>
          <w:szCs w:val="24"/>
        </w:rPr>
      </w:pPr>
    </w:p>
    <w:p w:rsidR="0052623B" w:rsidRPr="004003F8" w:rsidRDefault="0052623B" w:rsidP="0052623B">
      <w:pPr>
        <w:pStyle w:val="Standard"/>
        <w:spacing w:line="360" w:lineRule="auto"/>
        <w:jc w:val="center"/>
        <w:rPr>
          <w:rFonts w:ascii="Times New Roman" w:hAnsi="Times New Roman" w:cs="Times New Roman"/>
          <w:b/>
          <w:bCs/>
          <w:color w:val="000000"/>
        </w:rPr>
      </w:pPr>
    </w:p>
    <w:p w:rsidR="0052623B" w:rsidRPr="004003F8" w:rsidRDefault="0052623B" w:rsidP="0052623B">
      <w:pPr>
        <w:pStyle w:val="Standard"/>
        <w:spacing w:line="360" w:lineRule="auto"/>
        <w:jc w:val="center"/>
        <w:rPr>
          <w:rFonts w:ascii="Times New Roman" w:hAnsi="Times New Roman" w:cs="Times New Roman"/>
          <w:b/>
          <w:bCs/>
          <w:color w:val="000000"/>
        </w:rPr>
      </w:pPr>
    </w:p>
    <w:p w:rsidR="0052623B" w:rsidRPr="004003F8" w:rsidRDefault="0052623B" w:rsidP="0052623B">
      <w:pPr>
        <w:pStyle w:val="Standard"/>
        <w:spacing w:line="360" w:lineRule="auto"/>
        <w:jc w:val="both"/>
        <w:rPr>
          <w:rFonts w:ascii="Times New Roman" w:hAnsi="Times New Roman" w:cs="Times New Roman"/>
          <w:b/>
          <w:bCs/>
          <w:color w:val="000000"/>
          <w:shd w:val="clear" w:color="auto" w:fill="FFFF00"/>
        </w:rPr>
      </w:pPr>
    </w:p>
    <w:p w:rsidR="0052623B" w:rsidRPr="004003F8" w:rsidRDefault="0052623B" w:rsidP="0052623B">
      <w:pPr>
        <w:pStyle w:val="Standard"/>
        <w:spacing w:line="360" w:lineRule="auto"/>
        <w:jc w:val="center"/>
        <w:rPr>
          <w:rFonts w:ascii="Times New Roman" w:hAnsi="Times New Roman" w:cs="Times New Roman"/>
          <w:b/>
          <w:bCs/>
          <w:color w:val="000000"/>
          <w:shd w:val="clear" w:color="auto" w:fill="FFFF00"/>
        </w:rPr>
      </w:pPr>
    </w:p>
    <w:p w:rsidR="00723D5C" w:rsidRDefault="00723D5C"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674FB7" w:rsidRDefault="00674FB7" w:rsidP="00723D5C">
      <w:pPr>
        <w:autoSpaceDE w:val="0"/>
        <w:spacing w:line="360" w:lineRule="auto"/>
        <w:rPr>
          <w:rStyle w:val="Fontepargpadro2"/>
          <w:rFonts w:cs="Times New Roman"/>
          <w:b/>
          <w:bCs/>
          <w:u w:val="single"/>
        </w:rPr>
      </w:pPr>
    </w:p>
    <w:p w:rsidR="00505FAB" w:rsidRDefault="009D08F8">
      <w:pPr>
        <w:spacing w:line="360" w:lineRule="auto"/>
        <w:jc w:val="center"/>
        <w:rPr>
          <w:b/>
          <w:u w:val="single"/>
        </w:rPr>
      </w:pPr>
      <w:r>
        <w:rPr>
          <w:b/>
          <w:u w:val="single"/>
        </w:rPr>
        <w:lastRenderedPageBreak/>
        <w:t>EDITAL DE LICITAÇÃO Nº 32</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w:t>
        </w:r>
        <w:r w:rsidR="002E6186">
          <w:rPr>
            <w:rStyle w:val="Hyperlink"/>
            <w:rFonts w:cs="Times New Roman"/>
            <w:b/>
            <w:color w:val="000000"/>
          </w:rPr>
          <w:t>2</w:t>
        </w:r>
        <w:r w:rsidR="006902CB" w:rsidRPr="006902CB">
          <w:rPr>
            <w:rStyle w:val="Hyperlink"/>
            <w:rFonts w:cs="Times New Roman"/>
            <w:b/>
            <w:color w:val="000000"/>
          </w:rPr>
          <w:t>0.000</w:t>
        </w:r>
        <w:r w:rsidR="002E6186">
          <w:rPr>
            <w:rStyle w:val="Hyperlink"/>
            <w:rFonts w:cs="Times New Roman"/>
            <w:b/>
            <w:color w:val="000000"/>
          </w:rPr>
          <w:t>8459</w:t>
        </w:r>
        <w:r w:rsidR="006902CB" w:rsidRPr="006902CB">
          <w:rPr>
            <w:rStyle w:val="Hyperlink"/>
            <w:rFonts w:cs="Times New Roman"/>
            <w:b/>
            <w:color w:val="000000"/>
          </w:rPr>
          <w:t>/2019-</w:t>
        </w:r>
        <w:r w:rsidR="002E6186">
          <w:rPr>
            <w:rStyle w:val="Hyperlink"/>
            <w:rFonts w:cs="Times New Roman"/>
            <w:b/>
            <w:color w:val="000000"/>
          </w:rPr>
          <w:t>2</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9D08F8">
        <w:rPr>
          <w:b/>
          <w:sz w:val="22"/>
          <w:szCs w:val="22"/>
        </w:rPr>
        <w:t>ÚBLICO – PREGÃO ELETRÔNICO Nº 32</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B30246" w:rsidRDefault="00B30246">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9"/>
        <w:gridCol w:w="2871"/>
        <w:gridCol w:w="1425"/>
        <w:gridCol w:w="906"/>
        <w:gridCol w:w="1129"/>
        <w:gridCol w:w="1399"/>
        <w:gridCol w:w="1282"/>
      </w:tblGrid>
      <w:tr w:rsidR="005D1ECF" w:rsidRPr="0045073A" w:rsidTr="00ED4B6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p w:rsidR="005D1ECF" w:rsidRPr="0045073A" w:rsidRDefault="005D1ECF" w:rsidP="0045073A">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Pr="0045073A">
              <w:rPr>
                <w:rFonts w:ascii="Times New Roman" w:eastAsia="Times New Roman" w:hAnsi="Times New Roman" w:cs="Times New Roman"/>
                <w:b/>
                <w:bCs/>
                <w:lang w:eastAsia="pt-BR" w:bidi="ar-SA"/>
              </w:rPr>
              <w:t xml:space="preserve"> - Material de infraestrutura predial diversos e de acabamento</w:t>
            </w:r>
          </w:p>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Mão francesa em metal 40 cm reforçada cor branca com parafusos de fixação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20</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Chumbador mecânico expansivo </w:t>
            </w:r>
            <w:proofErr w:type="spellStart"/>
            <w:r w:rsidRPr="0045073A">
              <w:rPr>
                <w:rFonts w:eastAsia="Times New Roman" w:cs="Times New Roman"/>
                <w:color w:val="000000"/>
                <w:lang w:eastAsia="pt-BR" w:bidi="ar-SA"/>
              </w:rPr>
              <w:t>Parabolt</w:t>
            </w:r>
            <w:proofErr w:type="spellEnd"/>
            <w:r w:rsidRPr="0045073A">
              <w:rPr>
                <w:rFonts w:eastAsia="Times New Roman" w:cs="Times New Roman"/>
                <w:color w:val="000000"/>
                <w:lang w:eastAsia="pt-BR" w:bidi="ar-SA"/>
              </w:rPr>
              <w:t xml:space="preserve"> com jaqueta 6 mm x 50mm completo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50</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Chumbador mecânico expansivo </w:t>
            </w:r>
            <w:proofErr w:type="spellStart"/>
            <w:r w:rsidRPr="0045073A">
              <w:rPr>
                <w:rFonts w:eastAsia="Times New Roman" w:cs="Times New Roman"/>
                <w:color w:val="000000"/>
                <w:lang w:eastAsia="pt-BR" w:bidi="ar-SA"/>
              </w:rPr>
              <w:t>Parabolt</w:t>
            </w:r>
            <w:proofErr w:type="spellEnd"/>
            <w:r w:rsidRPr="0045073A">
              <w:rPr>
                <w:rFonts w:eastAsia="Times New Roman" w:cs="Times New Roman"/>
                <w:color w:val="000000"/>
                <w:lang w:eastAsia="pt-BR" w:bidi="ar-SA"/>
              </w:rPr>
              <w:t xml:space="preserve"> com jaqueta 8mm </w:t>
            </w:r>
            <w:proofErr w:type="gramStart"/>
            <w:r w:rsidRPr="0045073A">
              <w:rPr>
                <w:rFonts w:eastAsia="Times New Roman" w:cs="Times New Roman"/>
                <w:color w:val="000000"/>
                <w:lang w:eastAsia="pt-BR" w:bidi="ar-SA"/>
              </w:rPr>
              <w:t>x  50</w:t>
            </w:r>
            <w:proofErr w:type="gramEnd"/>
            <w:r w:rsidRPr="0045073A">
              <w:rPr>
                <w:rFonts w:eastAsia="Times New Roman" w:cs="Times New Roman"/>
                <w:color w:val="000000"/>
                <w:lang w:eastAsia="pt-BR" w:bidi="ar-SA"/>
              </w:rPr>
              <w:t>mm completo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50</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Abraçadeira de nylon para amarração nas medidas 100x2,5mm, Tensão mínima de ruptura de 8kgf na cor preta Mod. Referência: </w:t>
            </w:r>
            <w:proofErr w:type="spellStart"/>
            <w:r w:rsidRPr="0045073A">
              <w:rPr>
                <w:rFonts w:eastAsia="Times New Roman" w:cs="Times New Roman"/>
                <w:color w:val="000000"/>
                <w:lang w:eastAsia="pt-BR" w:bidi="ar-SA"/>
              </w:rPr>
              <w:t>Hellermann</w:t>
            </w:r>
            <w:proofErr w:type="spellEnd"/>
            <w:r w:rsidRPr="0045073A">
              <w:rPr>
                <w:rFonts w:eastAsia="Times New Roman" w:cs="Times New Roman"/>
                <w:color w:val="000000"/>
                <w:lang w:eastAsia="pt-BR" w:bidi="ar-SA"/>
              </w:rPr>
              <w:t xml:space="preserve"> T18. Pacote com 100 unidades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Abraçadeira de nylon para amarração nas medidas 240x2,8mm, Tensão mínima de ruptura de 11kgf na cor preta Mod. Referência: </w:t>
            </w:r>
            <w:proofErr w:type="spellStart"/>
            <w:r w:rsidRPr="0045073A">
              <w:rPr>
                <w:rFonts w:eastAsia="Times New Roman" w:cs="Times New Roman"/>
                <w:color w:val="000000"/>
                <w:lang w:eastAsia="pt-BR" w:bidi="ar-SA"/>
              </w:rPr>
              <w:t>Hellermann</w:t>
            </w:r>
            <w:proofErr w:type="spellEnd"/>
            <w:r w:rsidRPr="0045073A">
              <w:rPr>
                <w:rFonts w:eastAsia="Times New Roman" w:cs="Times New Roman"/>
                <w:color w:val="000000"/>
                <w:lang w:eastAsia="pt-BR" w:bidi="ar-SA"/>
              </w:rPr>
              <w:t xml:space="preserve"> T25. Pacote com 100 unidades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Abraçadeira de nylon para amarração nas medidas 390x8,9mm, Tensão mínima de ruptura de 68kgf na cor preta Mod. Referência: </w:t>
            </w:r>
            <w:proofErr w:type="spellStart"/>
            <w:r w:rsidRPr="0045073A">
              <w:rPr>
                <w:rFonts w:eastAsia="Times New Roman" w:cs="Times New Roman"/>
                <w:color w:val="000000"/>
                <w:lang w:eastAsia="pt-BR" w:bidi="ar-SA"/>
              </w:rPr>
              <w:t>Hellermann</w:t>
            </w:r>
            <w:proofErr w:type="spellEnd"/>
            <w:r w:rsidRPr="0045073A">
              <w:rPr>
                <w:rFonts w:eastAsia="Times New Roman" w:cs="Times New Roman"/>
                <w:color w:val="000000"/>
                <w:lang w:eastAsia="pt-BR" w:bidi="ar-SA"/>
              </w:rPr>
              <w:t xml:space="preserve"> T150. Pacote com 100 unidades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Parafuso Philips Cabeça Panela S-6 e bucha plástica com aba S-6, pacote com 100 unidades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3</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Parafuso Philips Cabeça Panela S-8 e bucha plástica com aba S-8, pacote com 100 unidades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2</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9</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Parafuso Philips Cabeça Panela S-10 e bucha plástica com aba S-10, pacote com 100 unidades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12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r w:rsidR="005D1ECF" w:rsidRPr="0045073A" w:rsidTr="00ED4B6D">
        <w:trPr>
          <w:cantSplit/>
        </w:trPr>
        <w:tc>
          <w:tcPr>
            <w:tcW w:w="706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A765DE">
            <w:pPr>
              <w:widowControl/>
              <w:suppressAutoHyphens w:val="0"/>
              <w:textAlignment w:val="auto"/>
              <w:rPr>
                <w:rFonts w:cs="Times New Roman"/>
              </w:rPr>
            </w:pPr>
          </w:p>
          <w:p w:rsidR="005D1ECF" w:rsidRPr="0045073A" w:rsidRDefault="005D1ECF" w:rsidP="00A765DE">
            <w:pPr>
              <w:widowControl/>
              <w:suppressAutoHyphens w:val="0"/>
              <w:textAlignment w:val="auto"/>
              <w:rPr>
                <w:rFonts w:cs="Times New Roman"/>
              </w:rPr>
            </w:pPr>
            <w:r w:rsidRPr="0045073A">
              <w:rPr>
                <w:rFonts w:cs="Times New Roman"/>
              </w:rPr>
              <w:t xml:space="preserve">VALOR </w:t>
            </w:r>
            <w:r>
              <w:rPr>
                <w:rFonts w:cs="Times New Roman"/>
              </w:rPr>
              <w:t>TOTAL LOTE 1</w:t>
            </w:r>
          </w:p>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c>
          <w:tcPr>
            <w:tcW w:w="2681" w:type="dxa"/>
            <w:gridSpan w:val="2"/>
            <w:tcBorders>
              <w:top w:val="single" w:sz="4" w:space="0" w:color="000000"/>
              <w:left w:val="single" w:sz="4" w:space="0" w:color="000000"/>
              <w:bottom w:val="single" w:sz="4" w:space="0" w:color="000000"/>
              <w:right w:val="single" w:sz="4" w:space="0" w:color="000000"/>
            </w:tcBorders>
          </w:tcPr>
          <w:p w:rsidR="005D1ECF" w:rsidRPr="0045073A" w:rsidRDefault="005D1ECF" w:rsidP="00A765DE">
            <w:pPr>
              <w:pStyle w:val="LO-Normal1"/>
              <w:widowControl/>
              <w:spacing w:line="276" w:lineRule="auto"/>
              <w:jc w:val="center"/>
              <w:textAlignment w:val="auto"/>
              <w:rPr>
                <w:rFonts w:ascii="Times New Roman" w:hAnsi="Times New Roman" w:cs="Times New Roman"/>
              </w:rPr>
            </w:pPr>
          </w:p>
        </w:tc>
      </w:tr>
    </w:tbl>
    <w:p w:rsidR="0045073A" w:rsidRPr="0045073A" w:rsidRDefault="0045073A" w:rsidP="0045073A">
      <w:pPr>
        <w:rPr>
          <w:rFonts w:cs="Times New Roman"/>
        </w:rPr>
      </w:pPr>
    </w:p>
    <w:p w:rsidR="0045073A" w:rsidRPr="0045073A" w:rsidRDefault="0045073A" w:rsidP="0045073A">
      <w:pPr>
        <w:rPr>
          <w:rFonts w:cs="Times New Roman"/>
        </w:rPr>
      </w:pPr>
    </w:p>
    <w:p w:rsidR="0045073A" w:rsidRPr="0045073A" w:rsidRDefault="0045073A" w:rsidP="0045073A">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3004"/>
        <w:gridCol w:w="1425"/>
        <w:gridCol w:w="893"/>
        <w:gridCol w:w="1067"/>
        <w:gridCol w:w="1376"/>
        <w:gridCol w:w="1248"/>
      </w:tblGrid>
      <w:tr w:rsidR="005D1ECF" w:rsidRPr="0045073A" w:rsidTr="00ED4B6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p w:rsidR="005D1ECF" w:rsidRPr="0045073A" w:rsidRDefault="005D1ECF" w:rsidP="0045073A">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Pr="0045073A">
              <w:rPr>
                <w:rFonts w:ascii="Times New Roman" w:eastAsia="Times New Roman" w:hAnsi="Times New Roman" w:cs="Times New Roman"/>
                <w:b/>
                <w:bCs/>
                <w:lang w:eastAsia="pt-BR" w:bidi="ar-SA"/>
              </w:rPr>
              <w:t xml:space="preserve"> - Ferragens e fechaduras para portas</w:t>
            </w:r>
          </w:p>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30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8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1ECF" w:rsidRPr="0045073A" w:rsidRDefault="005D1ECF"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5D1ECF" w:rsidRPr="0045073A" w:rsidTr="005D1ECF">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de fechadura de porta externa 1300, com entrada, roseta, falsa contra testa e contra testa em aço inox, composta por cilindro e maçaneta em ZAMAC, com distância broca de 40mm, em acabamento cromado, com chave. Referência: IMAB DUNA Cj8769E13CR00k.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67" w:type="dxa"/>
            <w:tcBorders>
              <w:top w:val="single" w:sz="4" w:space="0" w:color="000000"/>
              <w:left w:val="single" w:sz="4" w:space="0" w:color="000000"/>
              <w:bottom w:val="single" w:sz="4" w:space="0" w:color="000000"/>
              <w:right w:val="single" w:sz="4" w:space="0" w:color="000000"/>
            </w:tcBorders>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c>
          <w:tcPr>
            <w:tcW w:w="1248" w:type="dxa"/>
            <w:tcBorders>
              <w:top w:val="single" w:sz="4" w:space="0" w:color="000000"/>
              <w:left w:val="single" w:sz="4" w:space="0" w:color="000000"/>
              <w:bottom w:val="single" w:sz="4" w:space="0" w:color="000000"/>
              <w:right w:val="single" w:sz="4" w:space="0" w:color="000000"/>
            </w:tcBorders>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r>
      <w:tr w:rsidR="005D1ECF" w:rsidRPr="0045073A" w:rsidTr="005D1ECF">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Conjunto de fechadura de porta de banheiro 1300, com roseta, falsa contra testa e contra testa em aço inox, composta por maçaneta em ZAMAC, com distância broca de 40mm, em acabamento cromado. Referência: IMAB DUNA Cj8769E13CR00.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28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D1ECF" w:rsidRPr="0045073A" w:rsidRDefault="005D1ECF"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67" w:type="dxa"/>
            <w:tcBorders>
              <w:top w:val="single" w:sz="4" w:space="0" w:color="000000"/>
              <w:left w:val="single" w:sz="4" w:space="0" w:color="000000"/>
              <w:bottom w:val="single" w:sz="4" w:space="0" w:color="000000"/>
              <w:right w:val="single" w:sz="4" w:space="0" w:color="000000"/>
            </w:tcBorders>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c>
          <w:tcPr>
            <w:tcW w:w="1248" w:type="dxa"/>
            <w:tcBorders>
              <w:top w:val="single" w:sz="4" w:space="0" w:color="000000"/>
              <w:left w:val="single" w:sz="4" w:space="0" w:color="000000"/>
              <w:bottom w:val="single" w:sz="4" w:space="0" w:color="000000"/>
              <w:right w:val="single" w:sz="4" w:space="0" w:color="000000"/>
            </w:tcBorders>
          </w:tcPr>
          <w:p w:rsidR="005D1ECF" w:rsidRPr="0045073A" w:rsidRDefault="005D1ECF" w:rsidP="0045073A">
            <w:pPr>
              <w:pStyle w:val="LO-Normal1"/>
              <w:widowControl/>
              <w:spacing w:line="276" w:lineRule="auto"/>
              <w:jc w:val="center"/>
              <w:textAlignment w:val="auto"/>
              <w:rPr>
                <w:rFonts w:ascii="Times New Roman" w:hAnsi="Times New Roman" w:cs="Times New Roman"/>
              </w:rPr>
            </w:pPr>
          </w:p>
        </w:tc>
      </w:tr>
      <w:tr w:rsidR="00165963" w:rsidRPr="0045073A" w:rsidTr="00ED4B6D">
        <w:trPr>
          <w:cantSplit/>
        </w:trPr>
        <w:tc>
          <w:tcPr>
            <w:tcW w:w="7117"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textAlignment w:val="auto"/>
              <w:rPr>
                <w:rFonts w:cs="Times New Roman"/>
              </w:rPr>
            </w:pPr>
          </w:p>
          <w:p w:rsidR="00165963" w:rsidRPr="0045073A" w:rsidRDefault="00165963" w:rsidP="0045073A">
            <w:pPr>
              <w:widowControl/>
              <w:suppressAutoHyphens w:val="0"/>
              <w:textAlignment w:val="auto"/>
              <w:rPr>
                <w:rFonts w:cs="Times New Roman"/>
              </w:rPr>
            </w:pPr>
            <w:r>
              <w:rPr>
                <w:rFonts w:cs="Times New Roman"/>
              </w:rPr>
              <w:t>VALOR TOTAL LOTE 02</w:t>
            </w:r>
          </w:p>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2624" w:type="dxa"/>
            <w:gridSpan w:val="2"/>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bl>
    <w:p w:rsidR="0045073A" w:rsidRPr="0045073A" w:rsidRDefault="0045073A" w:rsidP="0045073A">
      <w:pPr>
        <w:rPr>
          <w:rFonts w:cs="Times New Roman"/>
        </w:rPr>
      </w:pPr>
    </w:p>
    <w:p w:rsidR="0045073A" w:rsidRPr="0045073A" w:rsidRDefault="0045073A" w:rsidP="0045073A">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6"/>
        <w:gridCol w:w="3022"/>
        <w:gridCol w:w="1425"/>
        <w:gridCol w:w="892"/>
        <w:gridCol w:w="1059"/>
        <w:gridCol w:w="1373"/>
        <w:gridCol w:w="1244"/>
      </w:tblGrid>
      <w:tr w:rsidR="00165963" w:rsidRPr="0045073A" w:rsidTr="00ED4B6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p w:rsidR="00165963" w:rsidRPr="0045073A" w:rsidRDefault="00165963" w:rsidP="0045073A">
            <w:pPr>
              <w:pStyle w:val="LO-Normal1"/>
              <w:widowControl/>
              <w:spacing w:line="276" w:lineRule="auto"/>
              <w:jc w:val="center"/>
              <w:textAlignment w:val="auto"/>
              <w:rPr>
                <w:rFonts w:ascii="Times New Roman" w:hAnsi="Times New Roman" w:cs="Times New Roman"/>
              </w:rPr>
            </w:pPr>
            <w:r w:rsidRPr="0045073A">
              <w:rPr>
                <w:rFonts w:ascii="Times New Roman" w:eastAsia="Times New Roman" w:hAnsi="Times New Roman" w:cs="Times New Roman"/>
                <w:b/>
                <w:bCs/>
                <w:lang w:eastAsia="pt-BR" w:bidi="ar-SA"/>
              </w:rPr>
              <w:t>ITENS Específicos de infraestrutura predial e acabamento</w:t>
            </w:r>
          </w:p>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30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8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963" w:rsidRPr="0045073A" w:rsidRDefault="00165963"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Dobradiça com mola (dispositivo de fechamento automático) para porta corta fogo, conforme padrão adotado na edificação, atendendo as especificações da ABNT NBR 11.742:2003 e dos requisitos da ABNT NBR 13768:1997; confeccionadas em aço-carbono do tipo ABNT 1010/1020; dimensão de 100 mm (4") ao longo do eixo; fornecida completa, incluindo abas, eixo, cabeças, mola, carretéis, dispositivo de regulagem da mola (pinos de regulagem).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40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13</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Mola para porta com duas válvulas independentes, com controle de velocidade independente do ângulo de 180º a 20º e outro para fechamento final de 20º a 0º, permitindo a instalação em portas à esquerda ou à direita. Tempo de fechamento variável. Referência </w:t>
            </w:r>
            <w:proofErr w:type="spellStart"/>
            <w:r w:rsidRPr="0045073A">
              <w:rPr>
                <w:rFonts w:eastAsia="Times New Roman" w:cs="Times New Roman"/>
                <w:color w:val="000000"/>
                <w:lang w:eastAsia="pt-BR" w:bidi="ar-SA"/>
              </w:rPr>
              <w:t>Dorma</w:t>
            </w:r>
            <w:proofErr w:type="spellEnd"/>
            <w:r w:rsidRPr="0045073A">
              <w:rPr>
                <w:rFonts w:eastAsia="Times New Roman" w:cs="Times New Roman"/>
                <w:color w:val="000000"/>
                <w:lang w:eastAsia="pt-BR" w:bidi="ar-SA"/>
              </w:rPr>
              <w:t xml:space="preserve"> MA200/2, Soprano 302 ou </w:t>
            </w:r>
            <w:proofErr w:type="spellStart"/>
            <w:r w:rsidRPr="0045073A">
              <w:rPr>
                <w:rFonts w:eastAsia="Times New Roman" w:cs="Times New Roman"/>
                <w:color w:val="000000"/>
                <w:lang w:eastAsia="pt-BR" w:bidi="ar-SA"/>
              </w:rPr>
              <w:t>Hafele</w:t>
            </w:r>
            <w:proofErr w:type="spellEnd"/>
            <w:r w:rsidRPr="0045073A">
              <w:rPr>
                <w:rFonts w:eastAsia="Times New Roman" w:cs="Times New Roman"/>
                <w:color w:val="000000"/>
                <w:lang w:eastAsia="pt-BR" w:bidi="ar-SA"/>
              </w:rPr>
              <w:t xml:space="preserve"> DCL11 P-2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Fechadura de sobrepor para porta corta-fogo, com chave pelo lado externo com abertura para dentro do recinto. Referência: Fabricante Metalúrgica JVS, modelo 004Dg – Conforme padrão da porta corta-fogo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Fechadura de sobrepor para porta corta-fogo, com maçanetas livres. Referência: Fabricante Metalúrgica JVS, modelo 003 – Conforme padrão da porta corta-fogo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4</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16</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Lavatório em cerâmica suspenso: Lavatório de canto suspenso redondo com mesa, com acabamento esmaltado branco. Deve acompanhar kit de fixação para a instalação. Dimensões: 49,5x49,5cmx17cm (</w:t>
            </w:r>
            <w:proofErr w:type="spellStart"/>
            <w:r w:rsidRPr="0045073A">
              <w:rPr>
                <w:rFonts w:eastAsia="Times New Roman" w:cs="Times New Roman"/>
                <w:color w:val="000000"/>
                <w:lang w:eastAsia="pt-BR" w:bidi="ar-SA"/>
              </w:rPr>
              <w:t>LxPxA</w:t>
            </w:r>
            <w:proofErr w:type="spellEnd"/>
            <w:r w:rsidRPr="0045073A">
              <w:rPr>
                <w:rFonts w:eastAsia="Times New Roman" w:cs="Times New Roman"/>
                <w:color w:val="000000"/>
                <w:lang w:eastAsia="pt-BR" w:bidi="ar-SA"/>
              </w:rPr>
              <w:t>).  1.1.4.2 Modelo de Referência: Lavatório suspenso de canto com mesa Deca L76.17, conforme projeto arquitetônico elaborado para o espaço de amamentação do CNMP</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Tarjetas </w:t>
            </w:r>
            <w:proofErr w:type="spellStart"/>
            <w:r w:rsidRPr="0045073A">
              <w:rPr>
                <w:rFonts w:eastAsia="Times New Roman" w:cs="Times New Roman"/>
                <w:color w:val="000000"/>
                <w:lang w:eastAsia="pt-BR" w:bidi="ar-SA"/>
              </w:rPr>
              <w:t>Lockwell</w:t>
            </w:r>
            <w:proofErr w:type="spellEnd"/>
            <w:r w:rsidRPr="0045073A">
              <w:rPr>
                <w:rFonts w:eastAsia="Times New Roman" w:cs="Times New Roman"/>
                <w:color w:val="000000"/>
                <w:lang w:eastAsia="pt-BR" w:bidi="ar-SA"/>
              </w:rPr>
              <w:t xml:space="preserve"> livre/ocupado para portas com espessura de 10 a 15 mm, linha 700, cromado, para manter o padrão de furação já existente nas portas das divisórias dos banheiros do edifício.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18</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Trena métrica profissional de 7,5 metros. Caixa com botão de trava rápida para maior controle da medição e retrocesso da fita. Ponta magnética para fixação no zero. Fita de aço revestida de nylon resistente à abrasão. </w:t>
            </w:r>
            <w:proofErr w:type="spellStart"/>
            <w:r w:rsidRPr="0045073A">
              <w:rPr>
                <w:rFonts w:eastAsia="Times New Roman" w:cs="Times New Roman"/>
                <w:color w:val="000000"/>
                <w:lang w:eastAsia="pt-BR" w:bidi="ar-SA"/>
              </w:rPr>
              <w:t>Gradução</w:t>
            </w:r>
            <w:proofErr w:type="spellEnd"/>
            <w:r w:rsidRPr="0045073A">
              <w:rPr>
                <w:rFonts w:eastAsia="Times New Roman" w:cs="Times New Roman"/>
                <w:color w:val="000000"/>
                <w:lang w:eastAsia="pt-BR" w:bidi="ar-SA"/>
              </w:rPr>
              <w:t xml:space="preserve"> no mínimo em mm e cm. Modelo de Referência: Tramontina Master Profissional - 7,5 metros - </w:t>
            </w:r>
            <w:proofErr w:type="spellStart"/>
            <w:r w:rsidRPr="0045073A">
              <w:rPr>
                <w:rFonts w:eastAsia="Times New Roman" w:cs="Times New Roman"/>
                <w:color w:val="000000"/>
                <w:lang w:eastAsia="pt-BR" w:bidi="ar-SA"/>
              </w:rPr>
              <w:t>mod</w:t>
            </w:r>
            <w:proofErr w:type="spellEnd"/>
            <w:r w:rsidRPr="0045073A">
              <w:rPr>
                <w:rFonts w:eastAsia="Times New Roman" w:cs="Times New Roman"/>
                <w:color w:val="000000"/>
                <w:lang w:eastAsia="pt-BR" w:bidi="ar-SA"/>
              </w:rPr>
              <w:t xml:space="preserve"> 43158/375,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6</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r w:rsidR="00165963" w:rsidRPr="0045073A" w:rsidTr="00165963">
        <w:trPr>
          <w:cantSplit/>
        </w:trPr>
        <w:tc>
          <w:tcPr>
            <w:tcW w:w="7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19</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both"/>
              <w:textAlignment w:val="auto"/>
              <w:rPr>
                <w:rFonts w:eastAsia="Times New Roman" w:cs="Times New Roman"/>
                <w:color w:val="000000"/>
                <w:lang w:eastAsia="pt-BR" w:bidi="ar-SA"/>
              </w:rPr>
            </w:pPr>
            <w:r w:rsidRPr="0045073A">
              <w:rPr>
                <w:rFonts w:eastAsia="Times New Roman" w:cs="Times New Roman"/>
                <w:color w:val="000000"/>
                <w:lang w:eastAsia="pt-BR" w:bidi="ar-SA"/>
              </w:rPr>
              <w:t xml:space="preserve">Mangueira de Combate de a Incêndio TIPO 2 - 1.1/2" x 15m. </w:t>
            </w:r>
            <w:proofErr w:type="spellStart"/>
            <w:r w:rsidRPr="0045073A">
              <w:rPr>
                <w:rFonts w:eastAsia="Times New Roman" w:cs="Times New Roman"/>
                <w:color w:val="000000"/>
                <w:lang w:eastAsia="pt-BR" w:bidi="ar-SA"/>
              </w:rPr>
              <w:t>Ref</w:t>
            </w:r>
            <w:proofErr w:type="spellEnd"/>
            <w:r w:rsidRPr="0045073A">
              <w:rPr>
                <w:rFonts w:eastAsia="Times New Roman" w:cs="Times New Roman"/>
                <w:color w:val="000000"/>
                <w:lang w:eastAsia="pt-BR" w:bidi="ar-SA"/>
              </w:rPr>
              <w:t xml:space="preserve"> marca </w:t>
            </w:r>
            <w:proofErr w:type="spellStart"/>
            <w:r w:rsidRPr="0045073A">
              <w:rPr>
                <w:rFonts w:eastAsia="Times New Roman" w:cs="Times New Roman"/>
                <w:color w:val="000000"/>
                <w:lang w:eastAsia="pt-BR" w:bidi="ar-SA"/>
              </w:rPr>
              <w:t>Kidde</w:t>
            </w:r>
            <w:proofErr w:type="spellEnd"/>
            <w:r w:rsidRPr="0045073A">
              <w:rPr>
                <w:rFonts w:eastAsia="Times New Roman" w:cs="Times New Roman"/>
                <w:color w:val="000000"/>
                <w:lang w:eastAsia="pt-BR" w:bidi="ar-SA"/>
              </w:rPr>
              <w:t xml:space="preserve">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1</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65963" w:rsidRPr="0045073A" w:rsidRDefault="00165963" w:rsidP="0045073A">
            <w:pPr>
              <w:widowControl/>
              <w:suppressAutoHyphens w:val="0"/>
              <w:jc w:val="center"/>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un</w:t>
            </w:r>
            <w:proofErr w:type="spellEnd"/>
          </w:p>
        </w:tc>
        <w:tc>
          <w:tcPr>
            <w:tcW w:w="1059"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373"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rsidR="00165963" w:rsidRPr="0045073A" w:rsidRDefault="00165963" w:rsidP="0045073A">
            <w:pPr>
              <w:pStyle w:val="LO-Normal1"/>
              <w:widowControl/>
              <w:spacing w:line="276" w:lineRule="auto"/>
              <w:jc w:val="center"/>
              <w:textAlignment w:val="auto"/>
              <w:rPr>
                <w:rFonts w:ascii="Times New Roman" w:hAnsi="Times New Roman" w:cs="Times New Roman"/>
              </w:rPr>
            </w:pPr>
          </w:p>
        </w:tc>
      </w:tr>
    </w:tbl>
    <w:p w:rsidR="0045073A" w:rsidRPr="0045073A" w:rsidRDefault="0045073A" w:rsidP="0045073A">
      <w:pPr>
        <w:rPr>
          <w:rFonts w:cs="Times New Roman"/>
        </w:rPr>
      </w:pPr>
    </w:p>
    <w:p w:rsidR="0045073A" w:rsidRPr="0045073A" w:rsidRDefault="0045073A" w:rsidP="0045073A">
      <w:pPr>
        <w:rPr>
          <w:rFonts w:cs="Times New Roman"/>
        </w:rPr>
      </w:pPr>
    </w:p>
    <w:p w:rsidR="0045073A" w:rsidRDefault="0045073A" w:rsidP="0045073A">
      <w:pPr>
        <w:rPr>
          <w:rFonts w:cs="Times New Roman"/>
        </w:rPr>
      </w:pPr>
    </w:p>
    <w:p w:rsidR="00B7443C" w:rsidRDefault="00B7443C" w:rsidP="0045073A">
      <w:pPr>
        <w:rPr>
          <w:rFonts w:cs="Times New Roman"/>
        </w:rPr>
      </w:pPr>
    </w:p>
    <w:p w:rsidR="00B7443C" w:rsidRPr="0045073A" w:rsidRDefault="00B7443C" w:rsidP="0045073A">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7"/>
        <w:gridCol w:w="2960"/>
        <w:gridCol w:w="1425"/>
        <w:gridCol w:w="898"/>
        <w:gridCol w:w="1087"/>
        <w:gridCol w:w="1384"/>
        <w:gridCol w:w="1260"/>
      </w:tblGrid>
      <w:tr w:rsidR="00917A3A" w:rsidRPr="0045073A" w:rsidTr="00ED4B6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eastAsia="Times New Roman" w:hAnsi="Times New Roman" w:cs="Times New Roman"/>
                <w:b/>
                <w:bCs/>
                <w:lang w:eastAsia="pt-BR" w:bidi="ar-SA"/>
              </w:rPr>
            </w:pPr>
          </w:p>
          <w:p w:rsidR="00917A3A" w:rsidRPr="0045073A" w:rsidRDefault="00917A3A" w:rsidP="0045073A">
            <w:pPr>
              <w:pStyle w:val="LO-Normal1"/>
              <w:widowControl/>
              <w:spacing w:line="276" w:lineRule="auto"/>
              <w:jc w:val="center"/>
              <w:textAlignment w:val="auto"/>
              <w:rPr>
                <w:rFonts w:ascii="Times New Roman" w:eastAsia="Times New Roman" w:hAnsi="Times New Roman" w:cs="Times New Roman"/>
                <w:b/>
                <w:bCs/>
                <w:lang w:eastAsia="pt-BR" w:bidi="ar-SA"/>
              </w:rPr>
            </w:pPr>
            <w:r>
              <w:rPr>
                <w:rFonts w:ascii="Times New Roman" w:eastAsia="Times New Roman" w:hAnsi="Times New Roman" w:cs="Times New Roman"/>
                <w:b/>
                <w:bCs/>
                <w:lang w:eastAsia="pt-BR" w:bidi="ar-SA"/>
              </w:rPr>
              <w:t>LOTE 03</w:t>
            </w:r>
            <w:r w:rsidRPr="0045073A">
              <w:rPr>
                <w:rFonts w:ascii="Times New Roman" w:eastAsia="Times New Roman" w:hAnsi="Times New Roman" w:cs="Times New Roman"/>
                <w:b/>
                <w:bCs/>
                <w:lang w:eastAsia="pt-BR" w:bidi="ar-SA"/>
              </w:rPr>
              <w:t xml:space="preserve"> - Perfis para estrutura de forro modular</w:t>
            </w:r>
          </w:p>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r w:rsidR="00917A3A" w:rsidRPr="0045073A" w:rsidTr="00917A3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Item</w:t>
            </w:r>
          </w:p>
        </w:tc>
        <w:tc>
          <w:tcPr>
            <w:tcW w:w="2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917A3A" w:rsidRPr="0045073A" w:rsidTr="00917A3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20</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both"/>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Logarina</w:t>
            </w:r>
            <w:proofErr w:type="spellEnd"/>
            <w:r w:rsidRPr="0045073A">
              <w:rPr>
                <w:rFonts w:eastAsia="Times New Roman" w:cs="Times New Roman"/>
                <w:color w:val="000000"/>
                <w:lang w:eastAsia="pt-BR" w:bidi="ar-SA"/>
              </w:rPr>
              <w:t xml:space="preserve"> (secundária) Perfil metálico T clicado para forro modular 24mmx1250mm,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30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87"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r w:rsidR="00917A3A" w:rsidRPr="0045073A" w:rsidTr="00917A3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21</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both"/>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Logarina</w:t>
            </w:r>
            <w:proofErr w:type="spellEnd"/>
            <w:r w:rsidRPr="0045073A">
              <w:rPr>
                <w:rFonts w:eastAsia="Times New Roman" w:cs="Times New Roman"/>
                <w:color w:val="000000"/>
                <w:lang w:eastAsia="pt-BR" w:bidi="ar-SA"/>
              </w:rPr>
              <w:t xml:space="preserve"> (secundária) Perfil metálico T clicado para forro modular 24mmx625mm,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30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87"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r w:rsidR="00917A3A" w:rsidRPr="0045073A" w:rsidTr="00917A3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22</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both"/>
              <w:textAlignment w:val="auto"/>
              <w:rPr>
                <w:rFonts w:eastAsia="Times New Roman" w:cs="Times New Roman"/>
                <w:color w:val="000000"/>
                <w:lang w:eastAsia="pt-BR" w:bidi="ar-SA"/>
              </w:rPr>
            </w:pPr>
            <w:proofErr w:type="spellStart"/>
            <w:r w:rsidRPr="0045073A">
              <w:rPr>
                <w:rFonts w:eastAsia="Times New Roman" w:cs="Times New Roman"/>
                <w:color w:val="000000"/>
                <w:lang w:eastAsia="pt-BR" w:bidi="ar-SA"/>
              </w:rPr>
              <w:t>Logarina</w:t>
            </w:r>
            <w:proofErr w:type="spellEnd"/>
            <w:r w:rsidRPr="0045073A">
              <w:rPr>
                <w:rFonts w:eastAsia="Times New Roman" w:cs="Times New Roman"/>
                <w:color w:val="000000"/>
                <w:lang w:eastAsia="pt-BR" w:bidi="ar-SA"/>
              </w:rPr>
              <w:t xml:space="preserve"> (primária) Perfil metálico T clicado para forro modular 24mmx3125mm, com camada dupla de aço galvanizado por imersão a quente, compatível com o padrão dos encaixes das longarinas já instaladas no edifício (Fica a cargo do fornecedor visitar a sede do CNMP para aferir a compatibilidade dos encaixes). Acabamento com pintura branca a quente em poliéster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6</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jc w:val="center"/>
              <w:textAlignment w:val="auto"/>
              <w:rPr>
                <w:rFonts w:eastAsia="Times New Roman" w:cs="Times New Roman"/>
                <w:color w:val="000000"/>
                <w:lang w:eastAsia="pt-BR" w:bidi="ar-SA"/>
              </w:rPr>
            </w:pPr>
            <w:r w:rsidRPr="0045073A">
              <w:rPr>
                <w:rFonts w:eastAsia="Times New Roman" w:cs="Times New Roman"/>
                <w:color w:val="000000"/>
                <w:lang w:eastAsia="pt-BR" w:bidi="ar-SA"/>
              </w:rPr>
              <w:t>un.</w:t>
            </w:r>
          </w:p>
        </w:tc>
        <w:tc>
          <w:tcPr>
            <w:tcW w:w="1087"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r w:rsidR="00917A3A" w:rsidRPr="0045073A" w:rsidTr="00ED4B6D">
        <w:trPr>
          <w:cantSplit/>
        </w:trPr>
        <w:tc>
          <w:tcPr>
            <w:tcW w:w="7097"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widowControl/>
              <w:suppressAutoHyphens w:val="0"/>
              <w:textAlignment w:val="auto"/>
              <w:rPr>
                <w:rFonts w:cs="Times New Roman"/>
              </w:rPr>
            </w:pPr>
          </w:p>
          <w:p w:rsidR="00917A3A" w:rsidRPr="0045073A" w:rsidRDefault="00917A3A" w:rsidP="0045073A">
            <w:pPr>
              <w:widowControl/>
              <w:suppressAutoHyphens w:val="0"/>
              <w:textAlignment w:val="auto"/>
              <w:rPr>
                <w:rFonts w:cs="Times New Roman"/>
              </w:rPr>
            </w:pPr>
            <w:r>
              <w:rPr>
                <w:rFonts w:cs="Times New Roman"/>
              </w:rPr>
              <w:t>VALOR TOTAL LOTE 03</w:t>
            </w:r>
          </w:p>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2644" w:type="dxa"/>
            <w:gridSpan w:val="2"/>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bl>
    <w:p w:rsidR="0045073A" w:rsidRPr="0045073A" w:rsidRDefault="0045073A" w:rsidP="0045073A">
      <w:pPr>
        <w:rPr>
          <w:rFonts w:cs="Times New Roman"/>
        </w:rPr>
      </w:pPr>
    </w:p>
    <w:p w:rsidR="0045073A" w:rsidRPr="0045073A" w:rsidRDefault="0045073A" w:rsidP="0045073A">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9"/>
        <w:gridCol w:w="2912"/>
        <w:gridCol w:w="1425"/>
        <w:gridCol w:w="902"/>
        <w:gridCol w:w="1109"/>
        <w:gridCol w:w="1392"/>
        <w:gridCol w:w="1272"/>
      </w:tblGrid>
      <w:tr w:rsidR="00917A3A" w:rsidRPr="0045073A" w:rsidTr="00CC0350">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rPr>
            </w:pPr>
          </w:p>
          <w:p w:rsidR="00917A3A" w:rsidRPr="0045073A" w:rsidRDefault="00917A3A" w:rsidP="00CC0350">
            <w:pPr>
              <w:pStyle w:val="LO-Normal1"/>
              <w:widowControl/>
              <w:shd w:val="clear" w:color="auto" w:fill="FFFFFF" w:themeFill="background1"/>
              <w:spacing w:line="276" w:lineRule="auto"/>
              <w:jc w:val="center"/>
              <w:textAlignment w:val="auto"/>
              <w:rPr>
                <w:rStyle w:val="CabealhoChar"/>
                <w:rFonts w:ascii="Times New Roman" w:hAnsi="Times New Roman" w:cs="Times New Roman"/>
                <w:b/>
              </w:rPr>
            </w:pPr>
            <w:r w:rsidRPr="0045073A">
              <w:rPr>
                <w:rStyle w:val="CabealhoChar"/>
                <w:rFonts w:ascii="Times New Roman" w:hAnsi="Times New Roman" w:cs="Times New Roman"/>
                <w:b/>
              </w:rPr>
              <w:t>ITEM - Portas de divisória naval com maçaneta tipo alavanca.</w:t>
            </w:r>
          </w:p>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r w:rsidR="00917A3A" w:rsidRPr="0045073A" w:rsidTr="00CC0350">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lastRenderedPageBreak/>
              <w:t>Item</w:t>
            </w:r>
          </w:p>
        </w:tc>
        <w:tc>
          <w:tcPr>
            <w:tcW w:w="2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Quantidade</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U.M.</w:t>
            </w:r>
          </w:p>
        </w:tc>
        <w:tc>
          <w:tcPr>
            <w:tcW w:w="11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Unitário (</w:t>
            </w:r>
            <w:r w:rsidRPr="0045073A">
              <w:rPr>
                <w:rFonts w:ascii="Times New Roman" w:hAnsi="Times New Roman" w:cs="Times New Roman"/>
                <w:b/>
              </w:rPr>
              <w:t>R$)</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7A3A" w:rsidRPr="0045073A" w:rsidRDefault="00917A3A" w:rsidP="0045073A">
            <w:pPr>
              <w:pStyle w:val="LO-Normal1"/>
              <w:widowControl/>
              <w:spacing w:line="276" w:lineRule="auto"/>
              <w:jc w:val="center"/>
              <w:textAlignment w:val="auto"/>
              <w:rPr>
                <w:rFonts w:ascii="Times New Roman" w:hAnsi="Times New Roman" w:cs="Times New Roman"/>
                <w:b/>
                <w:lang w:eastAsia="en-US" w:bidi="ar-SA"/>
              </w:rPr>
            </w:pPr>
            <w:r w:rsidRPr="0045073A">
              <w:rPr>
                <w:rFonts w:ascii="Times New Roman" w:hAnsi="Times New Roman" w:cs="Times New Roman"/>
                <w:b/>
                <w:lang w:eastAsia="en-US" w:bidi="ar-SA"/>
              </w:rPr>
              <w:t>Valor Total (</w:t>
            </w:r>
            <w:r w:rsidRPr="0045073A">
              <w:rPr>
                <w:rFonts w:ascii="Times New Roman" w:hAnsi="Times New Roman" w:cs="Times New Roman"/>
                <w:b/>
              </w:rPr>
              <w:t>R$)</w:t>
            </w:r>
          </w:p>
        </w:tc>
      </w:tr>
      <w:tr w:rsidR="00917A3A" w:rsidRPr="0045073A" w:rsidTr="00917A3A">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17A3A" w:rsidRPr="0045073A" w:rsidRDefault="00917A3A" w:rsidP="0045073A">
            <w:pPr>
              <w:pStyle w:val="Standard"/>
              <w:jc w:val="both"/>
              <w:rPr>
                <w:rFonts w:ascii="Times New Roman" w:hAnsi="Times New Roman" w:cs="Times New Roman"/>
              </w:rPr>
            </w:pPr>
            <w:r w:rsidRPr="0045073A">
              <w:rPr>
                <w:rFonts w:ascii="Times New Roman" w:hAnsi="Times New Roman" w:cs="Times New Roman"/>
              </w:rPr>
              <w:t xml:space="preserve">Porta de divisória naval, com dimensões aproximadas de 80cm de largura por 210cm de altura e 35mm de espessura, </w:t>
            </w:r>
            <w:proofErr w:type="spellStart"/>
            <w:r w:rsidRPr="0045073A">
              <w:rPr>
                <w:rFonts w:ascii="Times New Roman" w:hAnsi="Times New Roman" w:cs="Times New Roman"/>
              </w:rPr>
              <w:t>contraplacadas</w:t>
            </w:r>
            <w:proofErr w:type="spellEnd"/>
            <w:r w:rsidRPr="0045073A">
              <w:rPr>
                <w:rFonts w:ascii="Times New Roman" w:hAnsi="Times New Roman" w:cs="Times New Roman"/>
              </w:rPr>
              <w:t xml:space="preserve"> em ambas as faces por chapa de fibra de madeira prensada com acabamento em laminado </w:t>
            </w:r>
            <w:proofErr w:type="spellStart"/>
            <w:r w:rsidRPr="0045073A">
              <w:rPr>
                <w:rFonts w:ascii="Times New Roman" w:hAnsi="Times New Roman" w:cs="Times New Roman"/>
              </w:rPr>
              <w:t>melamínico</w:t>
            </w:r>
            <w:proofErr w:type="spellEnd"/>
            <w:r w:rsidRPr="0045073A">
              <w:rPr>
                <w:rFonts w:ascii="Times New Roman" w:hAnsi="Times New Roman" w:cs="Times New Roman"/>
              </w:rPr>
              <w:t xml:space="preserve"> com pintura </w:t>
            </w:r>
            <w:proofErr w:type="spellStart"/>
            <w:r w:rsidRPr="0045073A">
              <w:rPr>
                <w:rFonts w:ascii="Times New Roman" w:hAnsi="Times New Roman" w:cs="Times New Roman"/>
              </w:rPr>
              <w:t>alquídica</w:t>
            </w:r>
            <w:proofErr w:type="spellEnd"/>
            <w:r w:rsidRPr="0045073A">
              <w:rPr>
                <w:rFonts w:ascii="Times New Roman" w:hAnsi="Times New Roman" w:cs="Times New Roman"/>
              </w:rPr>
              <w:t xml:space="preserve"> na cor cinza cristal, </w:t>
            </w:r>
            <w:proofErr w:type="spellStart"/>
            <w:r w:rsidRPr="0045073A">
              <w:rPr>
                <w:rFonts w:ascii="Times New Roman" w:hAnsi="Times New Roman" w:cs="Times New Roman"/>
              </w:rPr>
              <w:t>requadradas</w:t>
            </w:r>
            <w:proofErr w:type="spellEnd"/>
            <w:r w:rsidRPr="0045073A">
              <w:rPr>
                <w:rFonts w:ascii="Times New Roman" w:hAnsi="Times New Roman" w:cs="Times New Roman"/>
              </w:rPr>
              <w:t xml:space="preserve"> em todo perímetro com madeira maciça seca e desempenada, encabeçadas em aço galvanizado com pintura eletrostática epóxi poliéster. Deverão possuir fechadura com maçaneta tipo alavanca, confeccionada em aço inox (testa e </w:t>
            </w:r>
            <w:proofErr w:type="spellStart"/>
            <w:r w:rsidRPr="0045073A">
              <w:rPr>
                <w:rFonts w:ascii="Times New Roman" w:hAnsi="Times New Roman" w:cs="Times New Roman"/>
              </w:rPr>
              <w:t>contra-testa</w:t>
            </w:r>
            <w:proofErr w:type="spellEnd"/>
            <w:r w:rsidRPr="0045073A">
              <w:rPr>
                <w:rFonts w:ascii="Times New Roman" w:hAnsi="Times New Roman" w:cs="Times New Roman"/>
              </w:rPr>
              <w:t xml:space="preserve">) e </w:t>
            </w:r>
            <w:proofErr w:type="spellStart"/>
            <w:r w:rsidRPr="0045073A">
              <w:rPr>
                <w:rFonts w:ascii="Times New Roman" w:hAnsi="Times New Roman" w:cs="Times New Roman"/>
              </w:rPr>
              <w:t>zamac</w:t>
            </w:r>
            <w:proofErr w:type="spellEnd"/>
            <w:r w:rsidRPr="0045073A">
              <w:rPr>
                <w:rFonts w:ascii="Times New Roman" w:hAnsi="Times New Roman" w:cs="Times New Roman"/>
              </w:rPr>
              <w:t xml:space="preserve"> (maçaneta, lingueta e cilindro) e acabamento cromado. Distância mínima da broca de 40mm, referência PAPAIZ ou equivalente (para sanitários acessíveis). As medidas de cada uma das unidades deverão ser confirmadas "in loco" antes da confecção e entrega.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pStyle w:val="TableContents"/>
              <w:jc w:val="center"/>
              <w:rPr>
                <w:rFonts w:ascii="Times New Roman" w:hAnsi="Times New Roman" w:cs="Times New Roman"/>
              </w:rPr>
            </w:pPr>
            <w:r w:rsidRPr="0045073A">
              <w:rPr>
                <w:rFonts w:ascii="Times New Roman" w:hAnsi="Times New Roman" w:cs="Times New Roman"/>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7A3A" w:rsidRPr="0045073A" w:rsidRDefault="00917A3A" w:rsidP="0045073A">
            <w:pPr>
              <w:pStyle w:val="TableContents"/>
              <w:jc w:val="center"/>
              <w:rPr>
                <w:rFonts w:ascii="Times New Roman" w:hAnsi="Times New Roman" w:cs="Times New Roman"/>
              </w:rPr>
            </w:pPr>
            <w:proofErr w:type="spellStart"/>
            <w:r w:rsidRPr="0045073A">
              <w:rPr>
                <w:rFonts w:ascii="Times New Roman" w:hAnsi="Times New Roman" w:cs="Times New Roman"/>
              </w:rPr>
              <w:t>un</w:t>
            </w:r>
            <w:proofErr w:type="spellEnd"/>
          </w:p>
        </w:tc>
        <w:tc>
          <w:tcPr>
            <w:tcW w:w="1109"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392"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917A3A" w:rsidRPr="0045073A" w:rsidRDefault="00917A3A" w:rsidP="0045073A">
            <w:pPr>
              <w:pStyle w:val="LO-Normal1"/>
              <w:widowControl/>
              <w:spacing w:line="276" w:lineRule="auto"/>
              <w:jc w:val="center"/>
              <w:textAlignment w:val="auto"/>
              <w:rPr>
                <w:rFonts w:ascii="Times New Roman" w:hAnsi="Times New Roman" w:cs="Times New Roman"/>
              </w:rPr>
            </w:pPr>
          </w:p>
        </w:tc>
      </w:tr>
    </w:tbl>
    <w:p w:rsidR="00B30246" w:rsidRDefault="00B30246">
      <w:pPr>
        <w:rPr>
          <w:rFonts w:eastAsia="Arial" w:cs="Arial"/>
          <w:bCs/>
        </w:rPr>
      </w:pPr>
    </w:p>
    <w:p w:rsidR="00B30246" w:rsidRDefault="00B30246">
      <w:pPr>
        <w:rPr>
          <w:rFonts w:eastAsia="Arial" w:cs="Arial"/>
          <w:bCs/>
        </w:rPr>
      </w:pPr>
    </w:p>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lastRenderedPageBreak/>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9D08F8">
      <w:pPr>
        <w:spacing w:line="360" w:lineRule="auto"/>
        <w:jc w:val="center"/>
        <w:rPr>
          <w:b/>
          <w:u w:val="single"/>
        </w:rPr>
      </w:pPr>
      <w:r>
        <w:rPr>
          <w:b/>
          <w:u w:val="single"/>
        </w:rPr>
        <w:lastRenderedPageBreak/>
        <w:t>EDITAL DE LICITAÇÃO Nº 32</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w:t>
        </w:r>
        <w:r w:rsidR="002E6186">
          <w:rPr>
            <w:rStyle w:val="Hyperlink"/>
            <w:rFonts w:cs="Times New Roman"/>
            <w:b/>
            <w:color w:val="000000"/>
          </w:rPr>
          <w:t>2</w:t>
        </w:r>
        <w:r w:rsidR="006902CB" w:rsidRPr="006902CB">
          <w:rPr>
            <w:rStyle w:val="Hyperlink"/>
            <w:rFonts w:cs="Times New Roman"/>
            <w:b/>
            <w:color w:val="000000"/>
          </w:rPr>
          <w:t>0.000</w:t>
        </w:r>
        <w:r w:rsidR="002E6186">
          <w:rPr>
            <w:rStyle w:val="Hyperlink"/>
            <w:rFonts w:cs="Times New Roman"/>
            <w:b/>
            <w:color w:val="000000"/>
          </w:rPr>
          <w:t>8459</w:t>
        </w:r>
        <w:r w:rsidR="006902CB" w:rsidRPr="006902CB">
          <w:rPr>
            <w:rStyle w:val="Hyperlink"/>
            <w:rFonts w:cs="Times New Roman"/>
            <w:b/>
            <w:color w:val="000000"/>
          </w:rPr>
          <w:t>/2019-</w:t>
        </w:r>
        <w:r w:rsidR="002E6186">
          <w:rPr>
            <w:rStyle w:val="Hyperlink"/>
            <w:rFonts w:cs="Times New Roman"/>
            <w:b/>
            <w:color w:val="000000"/>
          </w:rPr>
          <w:t>2</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ED4B6D">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ED4B6D">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6D" w:rsidRDefault="00ED4B6D">
      <w:r>
        <w:separator/>
      </w:r>
    </w:p>
  </w:endnote>
  <w:endnote w:type="continuationSeparator" w:id="0">
    <w:p w:rsidR="00ED4B6D" w:rsidRDefault="00ED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variable"/>
  </w:font>
  <w:font w:name="TTE4D8A148t00">
    <w:charset w:val="00"/>
    <w:family w:val="auto"/>
    <w:pitch w:val="default"/>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D" w:rsidRDefault="00ED4B6D">
    <w:pPr>
      <w:pStyle w:val="Rodap"/>
      <w:jc w:val="both"/>
    </w:pPr>
  </w:p>
  <w:p w:rsidR="00ED4B6D" w:rsidRDefault="00ED4B6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8459</w:t>
      </w:r>
      <w:r w:rsidRPr="006902CB">
        <w:rPr>
          <w:rStyle w:val="Hyperlink"/>
          <w:rFonts w:ascii="Trebuchet MS" w:hAnsi="Trebuchet MS" w:cs="Times New Roman"/>
          <w:b/>
          <w:color w:val="000000"/>
          <w:sz w:val="16"/>
          <w:szCs w:val="16"/>
          <w:u w:val="none"/>
        </w:rPr>
        <w:t>/2019-</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32/2019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23</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69</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D" w:rsidRDefault="00ED4B6D">
    <w:pPr>
      <w:pStyle w:val="Rodap"/>
      <w:jc w:val="both"/>
    </w:pPr>
  </w:p>
  <w:p w:rsidR="00ED4B6D" w:rsidRDefault="00ED4B6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8459</w:t>
      </w:r>
      <w:r w:rsidRPr="006902CB">
        <w:rPr>
          <w:rStyle w:val="Hyperlink"/>
          <w:rFonts w:ascii="Trebuchet MS" w:hAnsi="Trebuchet MS" w:cs="Times New Roman"/>
          <w:b/>
          <w:color w:val="000000"/>
          <w:sz w:val="16"/>
          <w:szCs w:val="16"/>
          <w:u w:val="none"/>
        </w:rPr>
        <w:t>/2019-</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32/2019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33</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69</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D" w:rsidRDefault="00ED4B6D">
    <w:pPr>
      <w:pStyle w:val="Rodap"/>
      <w:jc w:val="both"/>
    </w:pPr>
  </w:p>
  <w:p w:rsidR="00ED4B6D" w:rsidRDefault="00ED4B6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8459</w:t>
      </w:r>
      <w:r w:rsidRPr="006902CB">
        <w:rPr>
          <w:rStyle w:val="Hyperlink"/>
          <w:rFonts w:ascii="Trebuchet MS" w:hAnsi="Trebuchet MS" w:cs="Times New Roman"/>
          <w:b/>
          <w:color w:val="000000"/>
          <w:sz w:val="16"/>
          <w:szCs w:val="16"/>
          <w:u w:val="none"/>
        </w:rPr>
        <w:t>/2019-</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32/2019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69</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69</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6D" w:rsidRDefault="00ED4B6D">
      <w:r>
        <w:separator/>
      </w:r>
    </w:p>
  </w:footnote>
  <w:footnote w:type="continuationSeparator" w:id="0">
    <w:p w:rsidR="00ED4B6D" w:rsidRDefault="00ED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D" w:rsidRDefault="00ED4B6D">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D4B6D" w:rsidRDefault="00ED4B6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D" w:rsidRDefault="00ED4B6D">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D4B6D" w:rsidRDefault="00ED4B6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D" w:rsidRDefault="00ED4B6D">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rPr>
        <w:rFonts w:ascii="Georgia" w:eastAsia="Tahoma" w:hAnsi="Georgia" w:cs="Georgia"/>
        <w:bCs/>
        <w:smallCaps/>
        <w:sz w:val="26"/>
        <w:szCs w:val="26"/>
      </w:rPr>
    </w:pPr>
  </w:p>
  <w:p w:rsidR="00ED4B6D" w:rsidRDefault="00ED4B6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D4B6D" w:rsidRDefault="00ED4B6D">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3246F"/>
    <w:rsid w:val="00036C2B"/>
    <w:rsid w:val="000572B7"/>
    <w:rsid w:val="00065EC8"/>
    <w:rsid w:val="0008136F"/>
    <w:rsid w:val="00085C65"/>
    <w:rsid w:val="00091661"/>
    <w:rsid w:val="000A14C4"/>
    <w:rsid w:val="000D634B"/>
    <w:rsid w:val="000F3C9A"/>
    <w:rsid w:val="00113919"/>
    <w:rsid w:val="001362BA"/>
    <w:rsid w:val="00165963"/>
    <w:rsid w:val="00170A7C"/>
    <w:rsid w:val="00176A20"/>
    <w:rsid w:val="001B23CB"/>
    <w:rsid w:val="001E0EDC"/>
    <w:rsid w:val="001E6803"/>
    <w:rsid w:val="001F29EF"/>
    <w:rsid w:val="001F6E65"/>
    <w:rsid w:val="00214378"/>
    <w:rsid w:val="00253081"/>
    <w:rsid w:val="00262508"/>
    <w:rsid w:val="002D0099"/>
    <w:rsid w:val="002E56F5"/>
    <w:rsid w:val="002E6186"/>
    <w:rsid w:val="00315136"/>
    <w:rsid w:val="00356ADB"/>
    <w:rsid w:val="00377DFE"/>
    <w:rsid w:val="003B3F25"/>
    <w:rsid w:val="004003F8"/>
    <w:rsid w:val="00410045"/>
    <w:rsid w:val="004237F6"/>
    <w:rsid w:val="004367A5"/>
    <w:rsid w:val="0045073A"/>
    <w:rsid w:val="00461F20"/>
    <w:rsid w:val="004B2818"/>
    <w:rsid w:val="004C56E1"/>
    <w:rsid w:val="004D6B60"/>
    <w:rsid w:val="004E65E2"/>
    <w:rsid w:val="004F23A8"/>
    <w:rsid w:val="00502BB7"/>
    <w:rsid w:val="00503F73"/>
    <w:rsid w:val="00505FAB"/>
    <w:rsid w:val="00524B30"/>
    <w:rsid w:val="0052623B"/>
    <w:rsid w:val="005B175D"/>
    <w:rsid w:val="005B4617"/>
    <w:rsid w:val="005D1ECF"/>
    <w:rsid w:val="005D375D"/>
    <w:rsid w:val="005E7CD1"/>
    <w:rsid w:val="005E7F44"/>
    <w:rsid w:val="00607BA0"/>
    <w:rsid w:val="006639E1"/>
    <w:rsid w:val="00673E9F"/>
    <w:rsid w:val="00674FB7"/>
    <w:rsid w:val="0067646D"/>
    <w:rsid w:val="00680DEC"/>
    <w:rsid w:val="006902CB"/>
    <w:rsid w:val="006C0890"/>
    <w:rsid w:val="006D12F3"/>
    <w:rsid w:val="006D677A"/>
    <w:rsid w:val="006F22BE"/>
    <w:rsid w:val="00716A29"/>
    <w:rsid w:val="007213F6"/>
    <w:rsid w:val="00723D5C"/>
    <w:rsid w:val="0073424A"/>
    <w:rsid w:val="00737EDC"/>
    <w:rsid w:val="007430D1"/>
    <w:rsid w:val="00743FBD"/>
    <w:rsid w:val="007666C0"/>
    <w:rsid w:val="00770F3B"/>
    <w:rsid w:val="00782686"/>
    <w:rsid w:val="00786B4C"/>
    <w:rsid w:val="00787E32"/>
    <w:rsid w:val="00790DFD"/>
    <w:rsid w:val="0079590F"/>
    <w:rsid w:val="007E4F72"/>
    <w:rsid w:val="0080418F"/>
    <w:rsid w:val="00816B55"/>
    <w:rsid w:val="00846242"/>
    <w:rsid w:val="00853F95"/>
    <w:rsid w:val="00867E4D"/>
    <w:rsid w:val="008768D5"/>
    <w:rsid w:val="00895BFF"/>
    <w:rsid w:val="008C7F81"/>
    <w:rsid w:val="008D23D1"/>
    <w:rsid w:val="00911006"/>
    <w:rsid w:val="00917505"/>
    <w:rsid w:val="00917A3A"/>
    <w:rsid w:val="0092196A"/>
    <w:rsid w:val="00931145"/>
    <w:rsid w:val="00957009"/>
    <w:rsid w:val="0095716A"/>
    <w:rsid w:val="0098698D"/>
    <w:rsid w:val="009A4FBC"/>
    <w:rsid w:val="009A5F58"/>
    <w:rsid w:val="009B2A54"/>
    <w:rsid w:val="009D08F8"/>
    <w:rsid w:val="00A10738"/>
    <w:rsid w:val="00A161F1"/>
    <w:rsid w:val="00A4573E"/>
    <w:rsid w:val="00A47D8A"/>
    <w:rsid w:val="00A60FCC"/>
    <w:rsid w:val="00A72A89"/>
    <w:rsid w:val="00A72B76"/>
    <w:rsid w:val="00A765DE"/>
    <w:rsid w:val="00A939B2"/>
    <w:rsid w:val="00AA3181"/>
    <w:rsid w:val="00AA5B38"/>
    <w:rsid w:val="00AC1C8C"/>
    <w:rsid w:val="00AE1F73"/>
    <w:rsid w:val="00AE7E40"/>
    <w:rsid w:val="00AF3D43"/>
    <w:rsid w:val="00B10DB8"/>
    <w:rsid w:val="00B24AF0"/>
    <w:rsid w:val="00B2676B"/>
    <w:rsid w:val="00B30246"/>
    <w:rsid w:val="00B418DD"/>
    <w:rsid w:val="00B4471A"/>
    <w:rsid w:val="00B62CC6"/>
    <w:rsid w:val="00B7443C"/>
    <w:rsid w:val="00B83CEC"/>
    <w:rsid w:val="00BD6F26"/>
    <w:rsid w:val="00BF561D"/>
    <w:rsid w:val="00C103C4"/>
    <w:rsid w:val="00C23880"/>
    <w:rsid w:val="00C328FE"/>
    <w:rsid w:val="00C35A38"/>
    <w:rsid w:val="00C54368"/>
    <w:rsid w:val="00C64121"/>
    <w:rsid w:val="00C6708B"/>
    <w:rsid w:val="00C70BBF"/>
    <w:rsid w:val="00CA19DC"/>
    <w:rsid w:val="00CB3E28"/>
    <w:rsid w:val="00CC0350"/>
    <w:rsid w:val="00CC4E7D"/>
    <w:rsid w:val="00CC5CA0"/>
    <w:rsid w:val="00CC5D0A"/>
    <w:rsid w:val="00CD11FA"/>
    <w:rsid w:val="00CD4377"/>
    <w:rsid w:val="00D22892"/>
    <w:rsid w:val="00D23DFC"/>
    <w:rsid w:val="00D33229"/>
    <w:rsid w:val="00D63FB1"/>
    <w:rsid w:val="00D74534"/>
    <w:rsid w:val="00D92B80"/>
    <w:rsid w:val="00DC1D2A"/>
    <w:rsid w:val="00DD27F0"/>
    <w:rsid w:val="00DE0265"/>
    <w:rsid w:val="00DE250B"/>
    <w:rsid w:val="00E04E63"/>
    <w:rsid w:val="00E07E9E"/>
    <w:rsid w:val="00E12F45"/>
    <w:rsid w:val="00E16733"/>
    <w:rsid w:val="00E24378"/>
    <w:rsid w:val="00E322F0"/>
    <w:rsid w:val="00E326DA"/>
    <w:rsid w:val="00E42280"/>
    <w:rsid w:val="00E53863"/>
    <w:rsid w:val="00E672F3"/>
    <w:rsid w:val="00E75CA2"/>
    <w:rsid w:val="00E96DBF"/>
    <w:rsid w:val="00EA170D"/>
    <w:rsid w:val="00EA2E32"/>
    <w:rsid w:val="00ED4B6D"/>
    <w:rsid w:val="00ED4B7B"/>
    <w:rsid w:val="00EE4BA9"/>
    <w:rsid w:val="00EF4388"/>
    <w:rsid w:val="00F07A65"/>
    <w:rsid w:val="00F15393"/>
    <w:rsid w:val="00F3171A"/>
    <w:rsid w:val="00F31B46"/>
    <w:rsid w:val="00F5053A"/>
    <w:rsid w:val="00F536CF"/>
    <w:rsid w:val="00F608CC"/>
    <w:rsid w:val="00F6517F"/>
    <w:rsid w:val="00F70662"/>
    <w:rsid w:val="00FC368D"/>
    <w:rsid w:val="00FD6F52"/>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FE521"/>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69</Pages>
  <Words>16627</Words>
  <Characters>89787</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106202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146</cp:revision>
  <cp:lastPrinted>2019-05-09T12:47:00Z</cp:lastPrinted>
  <dcterms:created xsi:type="dcterms:W3CDTF">2019-03-29T18:33:00Z</dcterms:created>
  <dcterms:modified xsi:type="dcterms:W3CDTF">2019-10-14T16:45:00Z</dcterms:modified>
  <dc:language>pt-BR</dc:language>
</cp:coreProperties>
</file>