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28E62BC7"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6944C6" w:rsidRPr="00A10558">
              <w:rPr>
                <w:rFonts w:cs="Times New Roman"/>
                <w:b/>
                <w:sz w:val="24"/>
                <w:szCs w:val="24"/>
              </w:rPr>
              <w:t>0</w:t>
            </w:r>
            <w:r w:rsidR="00422CE5">
              <w:rPr>
                <w:rFonts w:cs="Times New Roman"/>
                <w:b/>
                <w:sz w:val="24"/>
                <w:szCs w:val="24"/>
              </w:rPr>
              <w:t>7</w:t>
            </w:r>
            <w:r w:rsidR="000020F3" w:rsidRPr="00A10558">
              <w:rPr>
                <w:rFonts w:cs="Times New Roman"/>
                <w:b/>
                <w:sz w:val="24"/>
                <w:szCs w:val="24"/>
              </w:rPr>
              <w:t>/202</w:t>
            </w:r>
            <w:r w:rsidR="006944C6" w:rsidRPr="00A10558">
              <w:rPr>
                <w:rFonts w:cs="Times New Roman"/>
                <w:b/>
                <w:sz w:val="24"/>
                <w:szCs w:val="24"/>
              </w:rPr>
              <w:t>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58BFD0AE" w:rsidR="006163E8" w:rsidRPr="00A10558" w:rsidRDefault="0048594A" w:rsidP="009E6182">
            <w:pPr>
              <w:pStyle w:val="Standard"/>
              <w:spacing w:line="360" w:lineRule="auto"/>
              <w:jc w:val="center"/>
              <w:rPr>
                <w:rFonts w:cs="Times New Roman"/>
                <w:sz w:val="24"/>
                <w:szCs w:val="24"/>
              </w:rPr>
            </w:pPr>
            <w:r w:rsidRPr="00A10558">
              <w:rPr>
                <w:rFonts w:cs="Times New Roman"/>
                <w:b/>
                <w:bCs/>
                <w:sz w:val="24"/>
                <w:szCs w:val="24"/>
              </w:rPr>
              <w:t>Data de abertura:</w:t>
            </w:r>
            <w:r w:rsidR="0059755A">
              <w:rPr>
                <w:rFonts w:cs="Times New Roman"/>
                <w:b/>
                <w:bCs/>
                <w:sz w:val="24"/>
                <w:szCs w:val="24"/>
              </w:rPr>
              <w:t xml:space="preserve"> 05</w:t>
            </w:r>
            <w:r w:rsidR="009B7BDA" w:rsidRPr="00A10558">
              <w:rPr>
                <w:rFonts w:cs="Times New Roman"/>
                <w:b/>
                <w:bCs/>
                <w:sz w:val="24"/>
                <w:szCs w:val="24"/>
              </w:rPr>
              <w:t>/0</w:t>
            </w:r>
            <w:r w:rsidR="0059755A">
              <w:rPr>
                <w:rFonts w:cs="Times New Roman"/>
                <w:b/>
                <w:bCs/>
                <w:sz w:val="24"/>
                <w:szCs w:val="24"/>
              </w:rPr>
              <w:t>5</w:t>
            </w:r>
            <w:r w:rsidRPr="00A10558">
              <w:rPr>
                <w:rFonts w:cs="Times New Roman"/>
                <w:b/>
                <w:bCs/>
                <w:sz w:val="24"/>
                <w:szCs w:val="24"/>
              </w:rPr>
              <w:t>/202</w:t>
            </w:r>
            <w:r w:rsidR="006944C6" w:rsidRPr="00A10558">
              <w:rPr>
                <w:rFonts w:cs="Times New Roman"/>
                <w:b/>
                <w:bCs/>
                <w:sz w:val="24"/>
                <w:szCs w:val="24"/>
              </w:rPr>
              <w:t>1</w:t>
            </w:r>
            <w:r w:rsidRPr="00A10558">
              <w:rPr>
                <w:rFonts w:cs="Times New Roman"/>
                <w:b/>
                <w:bCs/>
                <w:sz w:val="24"/>
                <w:szCs w:val="24"/>
              </w:rPr>
              <w:t xml:space="preserve"> 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5A20D6B1" w:rsidR="006163E8" w:rsidRPr="00A10558" w:rsidRDefault="0030773E" w:rsidP="00FB7358">
            <w:pPr>
              <w:pStyle w:val="Standard"/>
              <w:spacing w:before="57" w:after="57" w:line="360" w:lineRule="auto"/>
              <w:ind w:left="360"/>
              <w:jc w:val="both"/>
              <w:rPr>
                <w:rFonts w:cs="Times New Roman"/>
                <w:sz w:val="24"/>
                <w:szCs w:val="24"/>
              </w:rPr>
            </w:pPr>
            <w:r w:rsidRPr="006E65AE">
              <w:rPr>
                <w:rFonts w:cs="Times New Roman"/>
                <w:sz w:val="24"/>
                <w:szCs w:val="24"/>
              </w:rPr>
              <w:t xml:space="preserve">Contratação empresa para fornecimento de subscrições </w:t>
            </w:r>
            <w:r w:rsidRPr="006E65AE">
              <w:rPr>
                <w:rFonts w:cs="Times New Roman"/>
                <w:i/>
                <w:iCs/>
                <w:sz w:val="24"/>
                <w:szCs w:val="24"/>
              </w:rPr>
              <w:t xml:space="preserve">Tableau </w:t>
            </w:r>
            <w:proofErr w:type="spellStart"/>
            <w:r w:rsidRPr="006E65AE">
              <w:rPr>
                <w:rFonts w:cs="Times New Roman"/>
                <w:i/>
                <w:iCs/>
                <w:sz w:val="24"/>
                <w:szCs w:val="24"/>
              </w:rPr>
              <w:t>Creator</w:t>
            </w:r>
            <w:proofErr w:type="spellEnd"/>
            <w:r w:rsidRPr="006E65AE">
              <w:rPr>
                <w:rFonts w:cs="Times New Roman"/>
                <w:sz w:val="24"/>
                <w:szCs w:val="24"/>
              </w:rPr>
              <w:t xml:space="preserve"> e </w:t>
            </w:r>
            <w:r w:rsidRPr="006E65AE">
              <w:rPr>
                <w:rFonts w:cs="Times New Roman"/>
                <w:i/>
                <w:iCs/>
                <w:sz w:val="24"/>
                <w:szCs w:val="24"/>
              </w:rPr>
              <w:t xml:space="preserve">Tableau </w:t>
            </w:r>
            <w:proofErr w:type="spellStart"/>
            <w:r w:rsidRPr="006E65AE">
              <w:rPr>
                <w:rFonts w:cs="Times New Roman"/>
                <w:i/>
                <w:iCs/>
                <w:sz w:val="24"/>
                <w:szCs w:val="24"/>
              </w:rPr>
              <w:t>Viewer</w:t>
            </w:r>
            <w:proofErr w:type="spellEnd"/>
            <w:r w:rsidRPr="006E65AE">
              <w:rPr>
                <w:rFonts w:cs="Times New Roman"/>
                <w:sz w:val="24"/>
                <w:szCs w:val="24"/>
              </w:rPr>
              <w:t xml:space="preserve">, contemplando migração de licenças perpétuas </w:t>
            </w:r>
            <w:r w:rsidRPr="006E65AE">
              <w:rPr>
                <w:rFonts w:cs="Times New Roman"/>
                <w:i/>
                <w:iCs/>
                <w:sz w:val="24"/>
                <w:szCs w:val="24"/>
              </w:rPr>
              <w:t>Tableau Desktop Professional</w:t>
            </w:r>
            <w:r w:rsidRPr="006E65AE">
              <w:rPr>
                <w:rFonts w:cs="Times New Roman"/>
                <w:sz w:val="24"/>
                <w:szCs w:val="24"/>
              </w:rPr>
              <w:t xml:space="preserve"> e </w:t>
            </w:r>
            <w:r w:rsidRPr="006E65AE">
              <w:rPr>
                <w:rFonts w:cs="Times New Roman"/>
                <w:i/>
                <w:iCs/>
                <w:sz w:val="24"/>
                <w:szCs w:val="24"/>
              </w:rPr>
              <w:t xml:space="preserve">Tableau </w:t>
            </w:r>
            <w:proofErr w:type="spellStart"/>
            <w:r w:rsidRPr="006E65AE">
              <w:rPr>
                <w:rFonts w:cs="Times New Roman"/>
                <w:i/>
                <w:iCs/>
                <w:sz w:val="24"/>
                <w:szCs w:val="24"/>
              </w:rPr>
              <w:t>Interactor</w:t>
            </w:r>
            <w:proofErr w:type="spellEnd"/>
            <w:r w:rsidRPr="006E65AE">
              <w:rPr>
                <w:rFonts w:cs="Times New Roman"/>
                <w:sz w:val="24"/>
                <w:szCs w:val="24"/>
              </w:rPr>
              <w:t>, previamente adquiridas pelo CNMP.</w:t>
            </w:r>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A10558" w:rsidRDefault="006163E8">
            <w:pPr>
              <w:pStyle w:val="textojustificadorecuoprimeiralinha"/>
              <w:snapToGrid w:val="0"/>
              <w:spacing w:before="0" w:after="0"/>
              <w:ind w:right="700"/>
              <w:jc w:val="both"/>
              <w:rPr>
                <w:b/>
                <w:bCs/>
                <w:color w:val="000000"/>
              </w:rPr>
            </w:pPr>
          </w:p>
          <w:p w14:paraId="08E03BE7" w14:textId="567EF8FB" w:rsidR="00173D7B" w:rsidRPr="00A10558" w:rsidRDefault="00F7522F" w:rsidP="0007272D">
            <w:pPr>
              <w:pStyle w:val="textojustificadorecuoprimeiralinha"/>
              <w:spacing w:before="0" w:after="0"/>
              <w:ind w:right="700"/>
              <w:jc w:val="both"/>
              <w:rPr>
                <w:b/>
                <w:bCs/>
                <w:color w:val="000000"/>
              </w:rPr>
            </w:pPr>
            <w:r w:rsidRPr="00A10558">
              <w:rPr>
                <w:b/>
                <w:bCs/>
                <w:color w:val="000000"/>
              </w:rPr>
              <w:t xml:space="preserve">R$ </w:t>
            </w:r>
            <w:r w:rsidR="00003E3B">
              <w:rPr>
                <w:b/>
                <w:bCs/>
                <w:color w:val="000000"/>
              </w:rPr>
              <w:t>622.243,20</w:t>
            </w:r>
            <w:r w:rsidR="0024601A">
              <w:rPr>
                <w:b/>
                <w:bCs/>
                <w:color w:val="000000"/>
              </w:rPr>
              <w:t xml:space="preserve"> (seiscentos e vinte e dois mil, duzentos e quarenta e três reais e vinte centavos)</w:t>
            </w:r>
          </w:p>
          <w:p w14:paraId="0A37501D" w14:textId="02AED9A5" w:rsidR="0007272D" w:rsidRPr="00A10558" w:rsidRDefault="0007272D" w:rsidP="0007272D">
            <w:pPr>
              <w:pStyle w:val="textojustificadorecuoprimeiralinha"/>
              <w:spacing w:before="0" w:after="0"/>
              <w:ind w:right="700"/>
              <w:jc w:val="both"/>
              <w:rPr>
                <w:color w:val="000000"/>
              </w:rPr>
            </w:pP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3798F5C0" w:rsidR="00FB1C9A" w:rsidRPr="00A10558" w:rsidRDefault="00B74B6F"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C2807F8" w:rsidR="006163E8" w:rsidRPr="00A10558" w:rsidRDefault="006163E8" w:rsidP="00853A2B">
            <w:pPr>
              <w:pStyle w:val="Standard"/>
              <w:jc w:val="center"/>
              <w:rPr>
                <w:rFonts w:cs="Times New Roman"/>
                <w:sz w:val="24"/>
                <w:szCs w:val="24"/>
              </w:rPr>
            </w:pPr>
            <w:r w:rsidRPr="00A10558">
              <w:rPr>
                <w:rFonts w:cs="Times New Roman"/>
                <w:sz w:val="24"/>
                <w:szCs w:val="24"/>
              </w:rPr>
              <w:t xml:space="preserve">Menor Preço </w:t>
            </w:r>
            <w:r w:rsidR="009E6182" w:rsidRPr="00A10558">
              <w:rPr>
                <w:rFonts w:cs="Times New Roman"/>
                <w:sz w:val="24"/>
                <w:szCs w:val="24"/>
              </w:rPr>
              <w:t>por lote</w:t>
            </w:r>
            <w:r w:rsidR="00853A2B" w:rsidRPr="00A10558">
              <w:rPr>
                <w:rFonts w:cs="Times New Roman"/>
                <w:sz w:val="24"/>
                <w:szCs w:val="24"/>
              </w:rPr>
              <w:t>/global</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09C90F2E" w:rsidR="006163E8" w:rsidRPr="00A10558" w:rsidRDefault="00B24A61" w:rsidP="00853A2B">
            <w:pPr>
              <w:pStyle w:val="Standard"/>
              <w:jc w:val="both"/>
              <w:rPr>
                <w:rFonts w:cs="Times New Roman"/>
                <w:sz w:val="24"/>
                <w:szCs w:val="24"/>
              </w:rPr>
            </w:pPr>
            <w:r w:rsidRPr="00A10558">
              <w:rPr>
                <w:rFonts w:cs="Times New Roman"/>
                <w:sz w:val="24"/>
                <w:szCs w:val="24"/>
              </w:rPr>
              <w:t>Até</w:t>
            </w:r>
            <w:r w:rsidR="0059755A">
              <w:rPr>
                <w:rFonts w:cs="Times New Roman"/>
                <w:sz w:val="24"/>
                <w:szCs w:val="24"/>
              </w:rPr>
              <w:t xml:space="preserve"> 30</w:t>
            </w:r>
            <w:r w:rsidR="009B7BDA" w:rsidRPr="00A10558">
              <w:rPr>
                <w:rFonts w:cs="Times New Roman"/>
                <w:sz w:val="24"/>
                <w:szCs w:val="24"/>
              </w:rPr>
              <w:t>/0</w:t>
            </w:r>
            <w:r w:rsidR="003F1325" w:rsidRPr="00A10558">
              <w:rPr>
                <w:rFonts w:cs="Times New Roman"/>
                <w:sz w:val="24"/>
                <w:szCs w:val="24"/>
              </w:rPr>
              <w:t>4</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6C67B72" w:rsidR="006163E8" w:rsidRPr="00A10558" w:rsidRDefault="00B24A61" w:rsidP="00853A2B">
            <w:pPr>
              <w:pStyle w:val="Standard"/>
              <w:rPr>
                <w:rFonts w:cs="Times New Roman"/>
                <w:sz w:val="24"/>
                <w:szCs w:val="24"/>
              </w:rPr>
            </w:pPr>
            <w:r w:rsidRPr="00A10558">
              <w:rPr>
                <w:rFonts w:cs="Times New Roman"/>
                <w:sz w:val="24"/>
                <w:szCs w:val="24"/>
              </w:rPr>
              <w:t xml:space="preserve">Até </w:t>
            </w:r>
            <w:r w:rsidR="0059755A">
              <w:rPr>
                <w:rFonts w:cs="Times New Roman"/>
                <w:sz w:val="24"/>
                <w:szCs w:val="24"/>
              </w:rPr>
              <w:t>30</w:t>
            </w:r>
            <w:r w:rsidRPr="00A10558">
              <w:rPr>
                <w:rFonts w:cs="Times New Roman"/>
                <w:sz w:val="24"/>
                <w:szCs w:val="24"/>
              </w:rPr>
              <w:t>/</w:t>
            </w:r>
            <w:r w:rsidR="00BA1070" w:rsidRPr="00A10558">
              <w:rPr>
                <w:rFonts w:cs="Times New Roman"/>
                <w:sz w:val="24"/>
                <w:szCs w:val="24"/>
              </w:rPr>
              <w:t>0</w:t>
            </w:r>
            <w:r w:rsidR="003F1325" w:rsidRPr="00A10558">
              <w:rPr>
                <w:rFonts w:cs="Times New Roman"/>
                <w:sz w:val="24"/>
                <w:szCs w:val="24"/>
              </w:rPr>
              <w:t>4</w:t>
            </w:r>
            <w:r w:rsidR="009B7BDA" w:rsidRPr="00A10558">
              <w:rPr>
                <w:rFonts w:cs="Times New Roman"/>
                <w:sz w:val="24"/>
                <w:szCs w:val="24"/>
              </w:rPr>
              <w:t>/</w:t>
            </w:r>
            <w:r w:rsidRPr="00A10558">
              <w:rPr>
                <w:rFonts w:cs="Times New Roman"/>
                <w:sz w:val="24"/>
                <w:szCs w:val="24"/>
              </w:rPr>
              <w:t>202</w:t>
            </w:r>
            <w:r w:rsidR="006944C6" w:rsidRPr="00A10558">
              <w:rPr>
                <w:rFonts w:cs="Times New Roman"/>
                <w:sz w:val="24"/>
                <w:szCs w:val="24"/>
              </w:rPr>
              <w:t>1</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7777777" w:rsidR="006163E8" w:rsidRPr="00A10558" w:rsidRDefault="006163E8">
      <w:pPr>
        <w:pStyle w:val="Standard"/>
        <w:spacing w:line="360" w:lineRule="auto"/>
        <w:jc w:val="center"/>
        <w:rPr>
          <w:rFonts w:cs="Times New Roman"/>
          <w:b/>
          <w:sz w:val="24"/>
          <w:szCs w:val="24"/>
          <w:u w:val="single"/>
        </w:rPr>
      </w:pPr>
    </w:p>
    <w:p w14:paraId="5A39BBE3" w14:textId="7F6F625F" w:rsidR="006163E8" w:rsidRDefault="006163E8">
      <w:pPr>
        <w:pStyle w:val="Standard"/>
        <w:spacing w:line="360" w:lineRule="auto"/>
        <w:jc w:val="center"/>
        <w:rPr>
          <w:rFonts w:cs="Times New Roman"/>
          <w:b/>
          <w:sz w:val="24"/>
          <w:szCs w:val="24"/>
          <w:u w:val="single"/>
        </w:rPr>
      </w:pPr>
    </w:p>
    <w:p w14:paraId="6F1DD823" w14:textId="77777777" w:rsidR="00AA228C" w:rsidRPr="00A10558" w:rsidRDefault="00AA228C">
      <w:pPr>
        <w:pStyle w:val="Standard"/>
        <w:spacing w:line="360" w:lineRule="auto"/>
        <w:jc w:val="center"/>
        <w:rPr>
          <w:rFonts w:cs="Times New Roman"/>
          <w:b/>
          <w:sz w:val="24"/>
          <w:szCs w:val="24"/>
          <w:u w:val="single"/>
        </w:rPr>
      </w:pPr>
    </w:p>
    <w:p w14:paraId="41C8F396" w14:textId="77777777" w:rsidR="006163E8" w:rsidRPr="00A10558" w:rsidRDefault="006163E8">
      <w:pPr>
        <w:pStyle w:val="Standard"/>
        <w:spacing w:line="360" w:lineRule="auto"/>
        <w:jc w:val="center"/>
        <w:rPr>
          <w:rFonts w:cs="Times New Roman"/>
          <w:b/>
          <w:sz w:val="24"/>
          <w:szCs w:val="24"/>
          <w:u w:val="single"/>
        </w:rPr>
      </w:pPr>
    </w:p>
    <w:p w14:paraId="1EDCD159" w14:textId="1835D643"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6944C6" w:rsidRPr="00A10558">
        <w:rPr>
          <w:rFonts w:cs="Times New Roman"/>
          <w:b/>
          <w:sz w:val="24"/>
          <w:szCs w:val="24"/>
          <w:u w:val="single"/>
        </w:rPr>
        <w:t>0</w:t>
      </w:r>
      <w:r w:rsidR="00603249">
        <w:rPr>
          <w:rFonts w:cs="Times New Roman"/>
          <w:b/>
          <w:sz w:val="24"/>
          <w:szCs w:val="24"/>
          <w:u w:val="single"/>
        </w:rPr>
        <w:t>7</w:t>
      </w:r>
      <w:r w:rsidR="005564FC" w:rsidRPr="00A10558">
        <w:rPr>
          <w:rFonts w:cs="Times New Roman"/>
          <w:b/>
          <w:sz w:val="24"/>
          <w:szCs w:val="24"/>
          <w:u w:val="single"/>
        </w:rPr>
        <w:t>/202</w:t>
      </w:r>
      <w:r w:rsidR="006944C6" w:rsidRPr="00A10558">
        <w:rPr>
          <w:rFonts w:cs="Times New Roman"/>
          <w:b/>
          <w:sz w:val="24"/>
          <w:szCs w:val="24"/>
          <w:u w:val="single"/>
        </w:rPr>
        <w:t>1</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23CA2316"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5564FC" w:rsidRPr="00A10558">
        <w:rPr>
          <w:rFonts w:cs="Times New Roman"/>
          <w:b/>
          <w:bCs/>
          <w:sz w:val="24"/>
          <w:szCs w:val="24"/>
          <w:u w:val="single"/>
        </w:rPr>
        <w:t>19.00.6</w:t>
      </w:r>
      <w:r w:rsidR="000C1062">
        <w:rPr>
          <w:rFonts w:cs="Times New Roman"/>
          <w:b/>
          <w:bCs/>
          <w:sz w:val="24"/>
          <w:szCs w:val="24"/>
          <w:u w:val="single"/>
        </w:rPr>
        <w:t>321</w:t>
      </w:r>
      <w:r w:rsidR="005564FC" w:rsidRPr="00A10558">
        <w:rPr>
          <w:rFonts w:cs="Times New Roman"/>
          <w:b/>
          <w:bCs/>
          <w:sz w:val="24"/>
          <w:szCs w:val="24"/>
          <w:u w:val="single"/>
        </w:rPr>
        <w:t>.000</w:t>
      </w:r>
      <w:r w:rsidR="000C1062">
        <w:rPr>
          <w:rFonts w:cs="Times New Roman"/>
          <w:b/>
          <w:bCs/>
          <w:sz w:val="24"/>
          <w:szCs w:val="24"/>
          <w:u w:val="single"/>
        </w:rPr>
        <w:t>0847</w:t>
      </w:r>
      <w:r w:rsidR="005564FC" w:rsidRPr="00A10558">
        <w:rPr>
          <w:rFonts w:cs="Times New Roman"/>
          <w:b/>
          <w:bCs/>
          <w:sz w:val="24"/>
          <w:szCs w:val="24"/>
          <w:u w:val="single"/>
        </w:rPr>
        <w:t>/202</w:t>
      </w:r>
      <w:r w:rsidR="0024040C">
        <w:rPr>
          <w:rFonts w:cs="Times New Roman"/>
          <w:b/>
          <w:bCs/>
          <w:sz w:val="24"/>
          <w:szCs w:val="24"/>
          <w:u w:val="single"/>
        </w:rPr>
        <w:t>1</w:t>
      </w:r>
      <w:r w:rsidR="005564FC" w:rsidRPr="00A10558">
        <w:rPr>
          <w:rFonts w:cs="Times New Roman"/>
          <w:b/>
          <w:bCs/>
          <w:sz w:val="24"/>
          <w:szCs w:val="24"/>
          <w:u w:val="single"/>
        </w:rPr>
        <w:t>-</w:t>
      </w:r>
      <w:r w:rsidR="000C1062">
        <w:rPr>
          <w:rFonts w:cs="Times New Roman"/>
          <w:b/>
          <w:bCs/>
          <w:sz w:val="24"/>
          <w:szCs w:val="24"/>
          <w:u w:val="single"/>
        </w:rPr>
        <w:t>91</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1F559CAB"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59755A">
        <w:rPr>
          <w:rFonts w:cs="Times New Roman"/>
          <w:b/>
          <w:bCs/>
          <w:sz w:val="24"/>
          <w:szCs w:val="24"/>
        </w:rPr>
        <w:t xml:space="preserve"> 05</w:t>
      </w:r>
      <w:r w:rsidR="009B7BDA" w:rsidRPr="00A10558">
        <w:rPr>
          <w:rFonts w:cs="Times New Roman"/>
          <w:b/>
          <w:bCs/>
          <w:sz w:val="24"/>
          <w:szCs w:val="24"/>
        </w:rPr>
        <w:t>/0</w:t>
      </w:r>
      <w:r w:rsidR="0059755A">
        <w:rPr>
          <w:rFonts w:cs="Times New Roman"/>
          <w:b/>
          <w:bCs/>
          <w:sz w:val="24"/>
          <w:szCs w:val="24"/>
        </w:rPr>
        <w:t>5</w:t>
      </w:r>
      <w:r w:rsidR="009B7BDA" w:rsidRPr="00A10558">
        <w:rPr>
          <w:rFonts w:cs="Times New Roman"/>
          <w:b/>
          <w:bCs/>
          <w:sz w:val="24"/>
          <w:szCs w:val="24"/>
        </w:rPr>
        <w:t>/</w:t>
      </w:r>
      <w:r w:rsidRPr="00A10558">
        <w:rPr>
          <w:rFonts w:cs="Times New Roman"/>
          <w:b/>
          <w:bCs/>
          <w:sz w:val="24"/>
          <w:szCs w:val="24"/>
        </w:rPr>
        <w:t>202</w:t>
      </w:r>
      <w:r w:rsidR="006944C6" w:rsidRPr="00A10558">
        <w:rPr>
          <w:rFonts w:cs="Times New Roman"/>
          <w:b/>
          <w:bCs/>
          <w:sz w:val="24"/>
          <w:szCs w:val="24"/>
        </w:rPr>
        <w:t>1</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7DE7341E"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sediado no Setor de Administração Federal Sul – SAFS, Quadra 2, Lote 3, Ed. Adail Belmonte, CEP 70070-600, torna público, por meio do Pregoeiro Marciel Rubens da Silva e sua equipe de apoio, designados pela Portaria nº 1</w:t>
      </w:r>
      <w:r w:rsidR="00677853" w:rsidRPr="00A10558">
        <w:rPr>
          <w:rFonts w:cs="Times New Roman"/>
          <w:szCs w:val="24"/>
        </w:rPr>
        <w:t>59</w:t>
      </w:r>
      <w:r w:rsidRPr="00A10558">
        <w:rPr>
          <w:rFonts w:cs="Times New Roman"/>
          <w:szCs w:val="24"/>
        </w:rPr>
        <w:t xml:space="preserve">, de </w:t>
      </w:r>
      <w:r w:rsidR="00677853" w:rsidRPr="00A10558">
        <w:rPr>
          <w:rFonts w:cs="Times New Roman"/>
          <w:szCs w:val="24"/>
        </w:rPr>
        <w:t>05</w:t>
      </w:r>
      <w:r w:rsidRPr="00A10558">
        <w:rPr>
          <w:rFonts w:cs="Times New Roman"/>
          <w:szCs w:val="24"/>
        </w:rPr>
        <w:t xml:space="preserve"> de maio de 20</w:t>
      </w:r>
      <w:r w:rsidR="00677853" w:rsidRPr="00A10558">
        <w:rPr>
          <w:rFonts w:cs="Times New Roman"/>
          <w:szCs w:val="24"/>
        </w:rPr>
        <w:t>20</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59755A">
        <w:rPr>
          <w:rFonts w:eastAsia="CourierNewPSMT" w:cs="Times New Roman"/>
          <w:b/>
          <w:bCs/>
          <w:szCs w:val="24"/>
        </w:rPr>
        <w:t xml:space="preserve"> 05</w:t>
      </w:r>
      <w:r w:rsidR="009B7BDA" w:rsidRPr="00A10558">
        <w:rPr>
          <w:rFonts w:eastAsia="CourierNewPSMT" w:cs="Times New Roman"/>
          <w:b/>
          <w:bCs/>
          <w:szCs w:val="24"/>
        </w:rPr>
        <w:t xml:space="preserve"> de </w:t>
      </w:r>
      <w:r w:rsidR="0059755A">
        <w:rPr>
          <w:rFonts w:eastAsia="CourierNewPSMT" w:cs="Times New Roman"/>
          <w:b/>
          <w:bCs/>
          <w:szCs w:val="24"/>
        </w:rPr>
        <w:t>maio</w:t>
      </w:r>
      <w:r w:rsidR="005564FC" w:rsidRPr="00A10558">
        <w:rPr>
          <w:rFonts w:eastAsia="CourierNewPSMT" w:cs="Times New Roman"/>
          <w:b/>
          <w:bCs/>
          <w:szCs w:val="24"/>
        </w:rPr>
        <w:t xml:space="preserve"> </w:t>
      </w:r>
      <w:r w:rsidR="00D2334F" w:rsidRPr="00A10558">
        <w:rPr>
          <w:rFonts w:eastAsia="CourierNewPSMT" w:cs="Times New Roman"/>
          <w:b/>
          <w:bCs/>
          <w:szCs w:val="24"/>
        </w:rPr>
        <w:t xml:space="preserve">de </w:t>
      </w:r>
      <w:r w:rsidR="00337D0B" w:rsidRPr="00A10558">
        <w:rPr>
          <w:rFonts w:eastAsia="CourierNewPSMT" w:cs="Times New Roman"/>
          <w:b/>
          <w:bCs/>
          <w:szCs w:val="24"/>
        </w:rPr>
        <w:t>202</w:t>
      </w:r>
      <w:r w:rsidR="006944C6" w:rsidRPr="00A10558">
        <w:rPr>
          <w:rFonts w:eastAsia="CourierNewPSMT" w:cs="Times New Roman"/>
          <w:b/>
          <w:bCs/>
          <w:szCs w:val="24"/>
        </w:rPr>
        <w:t>1</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tipo MENOR PREÇO</w:t>
      </w:r>
      <w:r w:rsidR="007D3B55" w:rsidRPr="00A10558">
        <w:rPr>
          <w:rFonts w:cs="Times New Roman"/>
          <w:b/>
          <w:bCs/>
          <w:color w:val="000000"/>
          <w:szCs w:val="24"/>
        </w:rPr>
        <w:t xml:space="preserve"> GLOBAL/</w:t>
      </w:r>
      <w:r w:rsidR="005564FC" w:rsidRPr="00A10558">
        <w:rPr>
          <w:rFonts w:cs="Times New Roman"/>
          <w:b/>
          <w:bCs/>
          <w:color w:val="000000"/>
          <w:szCs w:val="24"/>
        </w:rPr>
        <w:t>LOTE</w:t>
      </w:r>
      <w:r w:rsidRPr="00A10558">
        <w:rPr>
          <w:rFonts w:cs="Times New Roman"/>
          <w:b/>
          <w:bCs/>
          <w:color w:val="000000"/>
          <w:szCs w:val="24"/>
        </w:rPr>
        <w:t xml:space="preserve">, na modalidade de PREGÃO ELETRÔNICO, execução indireta, empreitado por </w:t>
      </w:r>
      <w:r w:rsidR="00C9173B">
        <w:rPr>
          <w:rFonts w:cs="Times New Roman"/>
          <w:b/>
          <w:bCs/>
          <w:color w:val="000000"/>
          <w:szCs w:val="24"/>
        </w:rPr>
        <w:t>preço</w:t>
      </w:r>
      <w:r w:rsidR="005564FC" w:rsidRPr="00A10558">
        <w:rPr>
          <w:rFonts w:cs="Times New Roman"/>
          <w:b/>
          <w:bCs/>
          <w:color w:val="000000"/>
          <w:szCs w:val="24"/>
        </w:rPr>
        <w:t xml:space="preserve"> unitário</w:t>
      </w:r>
      <w:r w:rsidRPr="00A10558">
        <w:rPr>
          <w:rFonts w:cs="Times New Roman"/>
          <w:b/>
          <w:bCs/>
          <w:color w:val="000000"/>
          <w:szCs w:val="24"/>
        </w:rPr>
        <w:t>, visando</w:t>
      </w:r>
      <w:r w:rsidRPr="00A10558">
        <w:rPr>
          <w:rStyle w:val="Fontepargpadro2"/>
          <w:rFonts w:cs="Times New Roman"/>
          <w:szCs w:val="24"/>
        </w:rPr>
        <w:t xml:space="preserve"> </w:t>
      </w:r>
      <w:r w:rsidR="005C49EE" w:rsidRPr="00A10558">
        <w:rPr>
          <w:rStyle w:val="Fontepargpadro1"/>
          <w:rFonts w:cs="Times New Roman"/>
          <w:b/>
          <w:szCs w:val="24"/>
        </w:rPr>
        <w:t>a c</w:t>
      </w:r>
      <w:r w:rsidR="00F768AF" w:rsidRPr="00A10558">
        <w:rPr>
          <w:rStyle w:val="Fontepargpadro1"/>
          <w:rFonts w:cs="Times New Roman"/>
          <w:b/>
          <w:szCs w:val="24"/>
        </w:rPr>
        <w:t xml:space="preserve">ontratação de empresa </w:t>
      </w:r>
      <w:r w:rsidR="005B4683" w:rsidRPr="005B4683">
        <w:rPr>
          <w:rFonts w:cs="Times New Roman"/>
          <w:b/>
          <w:bCs/>
          <w:szCs w:val="24"/>
        </w:rPr>
        <w:t xml:space="preserve">para fornecimento de subscrições </w:t>
      </w:r>
      <w:r w:rsidR="005B4683" w:rsidRPr="005B4683">
        <w:rPr>
          <w:rFonts w:cs="Times New Roman"/>
          <w:b/>
          <w:bCs/>
          <w:i/>
          <w:iCs/>
          <w:szCs w:val="24"/>
        </w:rPr>
        <w:t xml:space="preserve">Tableau </w:t>
      </w:r>
      <w:proofErr w:type="spellStart"/>
      <w:r w:rsidR="005B4683" w:rsidRPr="005B4683">
        <w:rPr>
          <w:rFonts w:cs="Times New Roman"/>
          <w:b/>
          <w:bCs/>
          <w:i/>
          <w:iCs/>
          <w:szCs w:val="24"/>
        </w:rPr>
        <w:t>Creator</w:t>
      </w:r>
      <w:proofErr w:type="spellEnd"/>
      <w:r w:rsidR="005B4683" w:rsidRPr="005B4683">
        <w:rPr>
          <w:rFonts w:cs="Times New Roman"/>
          <w:b/>
          <w:bCs/>
          <w:szCs w:val="24"/>
        </w:rPr>
        <w:t xml:space="preserve"> e </w:t>
      </w:r>
      <w:r w:rsidR="005B4683" w:rsidRPr="005B4683">
        <w:rPr>
          <w:rFonts w:cs="Times New Roman"/>
          <w:b/>
          <w:bCs/>
          <w:i/>
          <w:iCs/>
          <w:szCs w:val="24"/>
        </w:rPr>
        <w:t xml:space="preserve">Tableau </w:t>
      </w:r>
      <w:proofErr w:type="spellStart"/>
      <w:r w:rsidR="005B4683" w:rsidRPr="005B4683">
        <w:rPr>
          <w:rFonts w:cs="Times New Roman"/>
          <w:b/>
          <w:bCs/>
          <w:i/>
          <w:iCs/>
          <w:szCs w:val="24"/>
        </w:rPr>
        <w:t>Viewer</w:t>
      </w:r>
      <w:proofErr w:type="spellEnd"/>
      <w:r w:rsidR="005B4683" w:rsidRPr="005B4683">
        <w:rPr>
          <w:rFonts w:cs="Times New Roman"/>
          <w:b/>
          <w:bCs/>
          <w:szCs w:val="24"/>
        </w:rPr>
        <w:t xml:space="preserve">, contemplando migração de licenças perpétuas </w:t>
      </w:r>
      <w:r w:rsidR="005B4683" w:rsidRPr="005B4683">
        <w:rPr>
          <w:rFonts w:cs="Times New Roman"/>
          <w:b/>
          <w:bCs/>
          <w:i/>
          <w:iCs/>
          <w:szCs w:val="24"/>
        </w:rPr>
        <w:t>Tableau Desktop Professional</w:t>
      </w:r>
      <w:r w:rsidR="005B4683" w:rsidRPr="005B4683">
        <w:rPr>
          <w:rFonts w:cs="Times New Roman"/>
          <w:b/>
          <w:bCs/>
          <w:szCs w:val="24"/>
        </w:rPr>
        <w:t xml:space="preserve"> e </w:t>
      </w:r>
      <w:r w:rsidR="005B4683" w:rsidRPr="005B4683">
        <w:rPr>
          <w:rFonts w:cs="Times New Roman"/>
          <w:b/>
          <w:bCs/>
          <w:i/>
          <w:iCs/>
          <w:szCs w:val="24"/>
        </w:rPr>
        <w:t xml:space="preserve">Tableau </w:t>
      </w:r>
      <w:proofErr w:type="spellStart"/>
      <w:r w:rsidR="005B4683" w:rsidRPr="005B4683">
        <w:rPr>
          <w:rFonts w:cs="Times New Roman"/>
          <w:b/>
          <w:bCs/>
          <w:i/>
          <w:iCs/>
          <w:szCs w:val="24"/>
        </w:rPr>
        <w:t>Interactor</w:t>
      </w:r>
      <w:proofErr w:type="spellEnd"/>
      <w:r w:rsidR="005B4683" w:rsidRPr="005B4683">
        <w:rPr>
          <w:rFonts w:cs="Times New Roman"/>
          <w:b/>
          <w:bCs/>
          <w:szCs w:val="24"/>
        </w:rPr>
        <w:t>, previamente adquiridas pelo</w:t>
      </w:r>
      <w:r w:rsidR="005B4683" w:rsidRPr="00A10558">
        <w:rPr>
          <w:rStyle w:val="Fontepargpadro1"/>
          <w:rFonts w:cs="Times New Roman"/>
          <w:b/>
          <w:szCs w:val="24"/>
        </w:rPr>
        <w:t xml:space="preserve"> </w:t>
      </w:r>
      <w:r w:rsidR="00F768AF" w:rsidRPr="00A10558">
        <w:rPr>
          <w:rStyle w:val="Fontepargpadro1"/>
          <w:rFonts w:cs="Times New Roman"/>
          <w:b/>
          <w:szCs w:val="24"/>
        </w:rPr>
        <w:t xml:space="preserve">Conselho Nacional do Ministério Público </w:t>
      </w:r>
      <w:r w:rsidR="00C46701">
        <w:rPr>
          <w:rStyle w:val="Fontepargpadro1"/>
          <w:rFonts w:cs="Times New Roman"/>
          <w:b/>
          <w:szCs w:val="24"/>
        </w:rPr>
        <w:t>–</w:t>
      </w:r>
      <w:r w:rsidR="00F768AF" w:rsidRPr="00A10558">
        <w:rPr>
          <w:rStyle w:val="Fontepargpadro1"/>
          <w:rFonts w:cs="Times New Roman"/>
          <w:b/>
          <w:szCs w:val="24"/>
        </w:rPr>
        <w:t xml:space="preserve"> CNMP</w:t>
      </w:r>
      <w:r w:rsidR="00C46701">
        <w:rPr>
          <w:rStyle w:val="Fontepargpadro1"/>
          <w:rFonts w:cs="Times New Roman"/>
          <w:bCs/>
          <w:szCs w:val="24"/>
        </w:rPr>
        <w:t>.</w:t>
      </w:r>
      <w:r w:rsidR="005C49EE" w:rsidRPr="00A10558">
        <w:rPr>
          <w:rFonts w:cs="Times New Roman"/>
          <w:b/>
          <w:szCs w:val="24"/>
        </w:rPr>
        <w:t xml:space="preserve"> </w:t>
      </w:r>
      <w:r w:rsidR="00F63FE4" w:rsidRPr="00A10558">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2DA875A1"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C32299" w:rsidRPr="00A10558">
        <w:rPr>
          <w:rStyle w:val="Fontepargpadro1"/>
          <w:rFonts w:cs="Times New Roman"/>
          <w:b/>
          <w:szCs w:val="24"/>
        </w:rPr>
        <w:t xml:space="preserve">contratação de empresa </w:t>
      </w:r>
      <w:r w:rsidR="00C32299" w:rsidRPr="005B4683">
        <w:rPr>
          <w:rFonts w:cs="Times New Roman"/>
          <w:b/>
          <w:bCs/>
          <w:szCs w:val="24"/>
        </w:rPr>
        <w:t xml:space="preserve">para fornecimento de subscrições </w:t>
      </w:r>
      <w:r w:rsidR="00C32299" w:rsidRPr="005B4683">
        <w:rPr>
          <w:rFonts w:cs="Times New Roman"/>
          <w:b/>
          <w:bCs/>
          <w:i/>
          <w:iCs/>
          <w:szCs w:val="24"/>
        </w:rPr>
        <w:t xml:space="preserve">Tableau </w:t>
      </w:r>
      <w:proofErr w:type="spellStart"/>
      <w:r w:rsidR="00C32299" w:rsidRPr="005B4683">
        <w:rPr>
          <w:rFonts w:cs="Times New Roman"/>
          <w:b/>
          <w:bCs/>
          <w:i/>
          <w:iCs/>
          <w:szCs w:val="24"/>
        </w:rPr>
        <w:t>Creator</w:t>
      </w:r>
      <w:proofErr w:type="spellEnd"/>
      <w:r w:rsidR="00C32299" w:rsidRPr="005B4683">
        <w:rPr>
          <w:rFonts w:cs="Times New Roman"/>
          <w:b/>
          <w:bCs/>
          <w:szCs w:val="24"/>
        </w:rPr>
        <w:t xml:space="preserve"> e </w:t>
      </w:r>
      <w:r w:rsidR="00C32299" w:rsidRPr="005B4683">
        <w:rPr>
          <w:rFonts w:cs="Times New Roman"/>
          <w:b/>
          <w:bCs/>
          <w:i/>
          <w:iCs/>
          <w:szCs w:val="24"/>
        </w:rPr>
        <w:t xml:space="preserve">Tableau </w:t>
      </w:r>
      <w:proofErr w:type="spellStart"/>
      <w:r w:rsidR="00C32299" w:rsidRPr="005B4683">
        <w:rPr>
          <w:rFonts w:cs="Times New Roman"/>
          <w:b/>
          <w:bCs/>
          <w:i/>
          <w:iCs/>
          <w:szCs w:val="24"/>
        </w:rPr>
        <w:t>Viewer</w:t>
      </w:r>
      <w:proofErr w:type="spellEnd"/>
      <w:r w:rsidR="00C32299" w:rsidRPr="005B4683">
        <w:rPr>
          <w:rFonts w:cs="Times New Roman"/>
          <w:b/>
          <w:bCs/>
          <w:szCs w:val="24"/>
        </w:rPr>
        <w:t xml:space="preserve">, contemplando migração de licenças perpétuas </w:t>
      </w:r>
      <w:r w:rsidR="00C32299" w:rsidRPr="005B4683">
        <w:rPr>
          <w:rFonts w:cs="Times New Roman"/>
          <w:b/>
          <w:bCs/>
          <w:i/>
          <w:iCs/>
          <w:szCs w:val="24"/>
        </w:rPr>
        <w:t>Tableau Desktop Professional</w:t>
      </w:r>
      <w:r w:rsidR="00C32299" w:rsidRPr="005B4683">
        <w:rPr>
          <w:rFonts w:cs="Times New Roman"/>
          <w:b/>
          <w:bCs/>
          <w:szCs w:val="24"/>
        </w:rPr>
        <w:t xml:space="preserve"> e </w:t>
      </w:r>
      <w:r w:rsidR="00C32299" w:rsidRPr="005B4683">
        <w:rPr>
          <w:rFonts w:cs="Times New Roman"/>
          <w:b/>
          <w:bCs/>
          <w:i/>
          <w:iCs/>
          <w:szCs w:val="24"/>
        </w:rPr>
        <w:t xml:space="preserve">Tableau </w:t>
      </w:r>
      <w:proofErr w:type="spellStart"/>
      <w:r w:rsidR="00C32299" w:rsidRPr="005B4683">
        <w:rPr>
          <w:rFonts w:cs="Times New Roman"/>
          <w:b/>
          <w:bCs/>
          <w:i/>
          <w:iCs/>
          <w:szCs w:val="24"/>
        </w:rPr>
        <w:t>Interactor</w:t>
      </w:r>
      <w:proofErr w:type="spellEnd"/>
      <w:r w:rsidR="00C32299" w:rsidRPr="005B4683">
        <w:rPr>
          <w:rFonts w:cs="Times New Roman"/>
          <w:b/>
          <w:bCs/>
          <w:szCs w:val="24"/>
        </w:rPr>
        <w:t>, previamente adquiridas pelo</w:t>
      </w:r>
      <w:r w:rsidR="00C32299" w:rsidRPr="00A10558">
        <w:rPr>
          <w:rStyle w:val="Fontepargpadro1"/>
          <w:rFonts w:cs="Times New Roman"/>
          <w:b/>
          <w:szCs w:val="24"/>
        </w:rPr>
        <w:t xml:space="preserve"> Conselho Nacional do Ministério Público </w:t>
      </w:r>
      <w:r w:rsidR="00C32299">
        <w:rPr>
          <w:rStyle w:val="Fontepargpadro1"/>
          <w:rFonts w:cs="Times New Roman"/>
          <w:b/>
          <w:szCs w:val="24"/>
        </w:rPr>
        <w:t>–</w:t>
      </w:r>
      <w:r w:rsidR="00C32299" w:rsidRPr="00A10558">
        <w:rPr>
          <w:rStyle w:val="Fontepargpadro1"/>
          <w:rFonts w:cs="Times New Roman"/>
          <w:b/>
          <w:szCs w:val="24"/>
        </w:rPr>
        <w:t xml:space="preserve"> CNMP</w:t>
      </w:r>
      <w:r w:rsidRPr="00A10558">
        <w:rPr>
          <w:rFonts w:eastAsia="Times New Roman" w:cs="Times New Roman"/>
          <w:b/>
          <w:bCs/>
          <w:szCs w:val="24"/>
          <w:lang w:eastAsia="pt-BR"/>
        </w:rPr>
        <w:t>,</w:t>
      </w:r>
      <w:r w:rsidRPr="00A10558">
        <w:rPr>
          <w:rFonts w:eastAsia="Arial" w:cs="Times New Roman"/>
          <w:b/>
          <w:bCs/>
          <w:szCs w:val="24"/>
          <w:lang w:eastAsia="pt-BR"/>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4D834934"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poderão participar deste Pregão empresas cujo(s) sócio(s), gerente(s) ou diretor(es) sejam cônjuge(s), companheiro(s) ou parente(s) em linha reta, colateral ou por afinidade, até o terceiro grau, inclusive, d</w:t>
      </w:r>
      <w:r w:rsidR="00257617">
        <w:rPr>
          <w:rFonts w:ascii="Times New Roman" w:eastAsia="Times New Roman" w:hAnsi="Times New Roman" w:cs="Times New Roman"/>
          <w:b/>
          <w:bCs/>
          <w:sz w:val="24"/>
          <w:szCs w:val="24"/>
        </w:rPr>
        <w:t>os</w:t>
      </w:r>
      <w:r w:rsidRPr="00A10558">
        <w:rPr>
          <w:rFonts w:ascii="Times New Roman" w:eastAsia="Times New Roman" w:hAnsi="Times New Roman" w:cs="Times New Roman"/>
          <w:b/>
          <w:bCs/>
          <w:sz w:val="24"/>
          <w:szCs w:val="24"/>
        </w:rPr>
        <w:t xml:space="preserve"> membro</w:t>
      </w:r>
      <w:r w:rsidR="00257617">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w:t>
      </w:r>
      <w:r w:rsidR="003132EF">
        <w:rPr>
          <w:rFonts w:ascii="Times New Roman" w:eastAsia="Times New Roman" w:hAnsi="Times New Roman" w:cs="Times New Roman"/>
          <w:b/>
          <w:bCs/>
          <w:sz w:val="24"/>
          <w:szCs w:val="24"/>
        </w:rPr>
        <w:t>s</w:t>
      </w:r>
      <w:r w:rsidR="00257617">
        <w:rPr>
          <w:rFonts w:ascii="Times New Roman" w:eastAsia="Times New Roman" w:hAnsi="Times New Roman" w:cs="Times New Roman"/>
          <w:b/>
          <w:bCs/>
          <w:sz w:val="24"/>
          <w:szCs w:val="24"/>
        </w:rPr>
        <w:t xml:space="preserve"> situadas na linha hierárquica da área encarregada da licitação</w:t>
      </w:r>
      <w:r w:rsidRPr="00A10558">
        <w:rPr>
          <w:rFonts w:ascii="Times New Roman" w:eastAsia="Times New Roman" w:hAnsi="Times New Roman" w:cs="Times New Roman"/>
          <w:b/>
          <w:bCs/>
          <w:sz w:val="24"/>
          <w:szCs w:val="24"/>
        </w:rPr>
        <w:t>, conforme dispõem a Resoluç</w:t>
      </w:r>
      <w:r w:rsidR="00257617">
        <w:rPr>
          <w:rFonts w:ascii="Times New Roman" w:eastAsia="Times New Roman" w:hAnsi="Times New Roman" w:cs="Times New Roman"/>
          <w:b/>
          <w:bCs/>
          <w:sz w:val="24"/>
          <w:szCs w:val="24"/>
        </w:rPr>
        <w:t>ão</w:t>
      </w:r>
      <w:r w:rsidRPr="00A10558">
        <w:rPr>
          <w:rFonts w:ascii="Times New Roman" w:eastAsia="Times New Roman" w:hAnsi="Times New Roman" w:cs="Times New Roman"/>
          <w:b/>
          <w:bCs/>
          <w:sz w:val="24"/>
          <w:szCs w:val="24"/>
        </w:rPr>
        <w:t xml:space="preserve"> CNMP </w:t>
      </w:r>
      <w:r w:rsidR="00257617">
        <w:rPr>
          <w:rFonts w:ascii="Times New Roman" w:eastAsia="Times New Roman" w:hAnsi="Times New Roman" w:cs="Times New Roman"/>
          <w:b/>
          <w:bCs/>
          <w:sz w:val="24"/>
          <w:szCs w:val="24"/>
        </w:rPr>
        <w:t>nº 3</w:t>
      </w:r>
      <w:r w:rsidRPr="00A10558">
        <w:rPr>
          <w:rFonts w:ascii="Times New Roman" w:eastAsia="Arial-BoldMT" w:hAnsi="Times New Roman" w:cs="Times New Roman"/>
          <w:b/>
          <w:bCs/>
          <w:sz w:val="24"/>
          <w:szCs w:val="24"/>
        </w:rPr>
        <w:t>7/2009</w:t>
      </w:r>
      <w:r w:rsidR="00257617">
        <w:rPr>
          <w:rFonts w:ascii="Times New Roman" w:eastAsia="Times New Roman" w:hAnsi="Times New Roman" w:cs="Times New Roman"/>
          <w:b/>
          <w:bCs/>
          <w:sz w:val="24"/>
          <w:szCs w:val="24"/>
        </w:rPr>
        <w:t xml:space="preserve">. </w:t>
      </w:r>
      <w:r w:rsidRPr="00A10558">
        <w:rPr>
          <w:rFonts w:ascii="Times New Roman" w:eastAsia="Times New Roman" w:hAnsi="Times New Roman" w:cs="Times New Roman"/>
          <w:b/>
          <w:bCs/>
          <w:sz w:val="24"/>
          <w:szCs w:val="24"/>
        </w:rPr>
        <w:t>(Anexo III do Edital).</w:t>
      </w:r>
    </w:p>
    <w:p w14:paraId="4101652C"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 xml:space="preserve">5.1. Os licitantes encaminharão, exclusivamente por meio do sistema, </w:t>
      </w:r>
      <w:r w:rsidRPr="00A10558">
        <w:rPr>
          <w:rFonts w:cs="Times New Roman"/>
        </w:rPr>
        <w:lastRenderedPageBreak/>
        <w:t>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w:t>
      </w:r>
      <w:r w:rsidRPr="00A10558">
        <w:rPr>
          <w:rFonts w:cs="Times New Roman"/>
          <w:b/>
          <w:bCs/>
          <w:sz w:val="24"/>
          <w:szCs w:val="24"/>
        </w:rPr>
        <w:lastRenderedPageBreak/>
        <w:t xml:space="preserve">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5.13. Serão desclassificadas as propostas e excluídos os lances que ofereçam preços excessivos ou inexequíveis, podendo o Pregoeiro realizar diligências para averiguação </w:t>
      </w:r>
      <w:proofErr w:type="gramStart"/>
      <w:r w:rsidRPr="00A10558">
        <w:rPr>
          <w:rFonts w:cs="Times New Roman"/>
          <w:sz w:val="24"/>
          <w:szCs w:val="24"/>
        </w:rPr>
        <w:t>dos mesmos</w:t>
      </w:r>
      <w:proofErr w:type="gramEnd"/>
      <w:r w:rsidRPr="00A10558">
        <w:rPr>
          <w:rFonts w:cs="Times New Roman"/>
          <w:sz w:val="24"/>
          <w:szCs w:val="24"/>
        </w:rPr>
        <w:t>.</w:t>
      </w:r>
    </w:p>
    <w:p w14:paraId="46982E3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A10558" w:rsidRDefault="006163E8">
      <w:pPr>
        <w:pStyle w:val="Standard"/>
        <w:spacing w:line="360" w:lineRule="auto"/>
        <w:ind w:firstLine="1417"/>
        <w:jc w:val="both"/>
        <w:rPr>
          <w:rFonts w:cs="Times New Roman"/>
          <w:sz w:val="24"/>
          <w:szCs w:val="24"/>
        </w:rPr>
      </w:pP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11F14488"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6944C6" w:rsidRPr="00A10558">
        <w:rPr>
          <w:rFonts w:cs="Times New Roman"/>
          <w:color w:val="000000"/>
          <w:sz w:val="24"/>
          <w:szCs w:val="24"/>
        </w:rPr>
        <w:t>0</w:t>
      </w:r>
      <w:r w:rsidR="000B6363">
        <w:rPr>
          <w:rFonts w:cs="Times New Roman"/>
          <w:color w:val="000000"/>
          <w:sz w:val="24"/>
          <w:szCs w:val="24"/>
        </w:rPr>
        <w:t>7</w:t>
      </w:r>
      <w:r w:rsidR="005564FC" w:rsidRPr="00A10558">
        <w:rPr>
          <w:rFonts w:cs="Times New Roman"/>
          <w:color w:val="000000"/>
          <w:sz w:val="24"/>
          <w:szCs w:val="24"/>
        </w:rPr>
        <w:t>/202</w:t>
      </w:r>
      <w:r w:rsidR="006944C6" w:rsidRPr="00A10558">
        <w:rPr>
          <w:rFonts w:cs="Times New Roman"/>
          <w:color w:val="000000"/>
          <w:sz w:val="24"/>
          <w:szCs w:val="24"/>
        </w:rPr>
        <w:t>1</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7ECDF75D"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07585248"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677853" w:rsidRPr="00A10558">
        <w:rPr>
          <w:rFonts w:eastAsia="Arial" w:cs="Times New Roman"/>
          <w:b/>
          <w:bCs/>
          <w:sz w:val="24"/>
          <w:szCs w:val="24"/>
        </w:rPr>
        <w:t xml:space="preserve"> </w:t>
      </w:r>
      <w:r w:rsidR="0059755A">
        <w:rPr>
          <w:rFonts w:eastAsia="Arial" w:cs="Times New Roman"/>
          <w:b/>
          <w:bCs/>
          <w:sz w:val="24"/>
          <w:szCs w:val="24"/>
        </w:rPr>
        <w:t>30</w:t>
      </w:r>
      <w:r w:rsidR="009B7BDA" w:rsidRPr="00A10558">
        <w:rPr>
          <w:rFonts w:eastAsia="Arial" w:cs="Times New Roman"/>
          <w:b/>
          <w:bCs/>
          <w:sz w:val="24"/>
          <w:szCs w:val="24"/>
        </w:rPr>
        <w:t>/0</w:t>
      </w:r>
      <w:r w:rsidR="006A1A7D" w:rsidRPr="00A10558">
        <w:rPr>
          <w:rFonts w:eastAsia="Arial" w:cs="Times New Roman"/>
          <w:b/>
          <w:bCs/>
          <w:sz w:val="24"/>
          <w:szCs w:val="24"/>
        </w:rPr>
        <w:t>4</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6A868CA8"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 xml:space="preserve">até o dia </w:t>
      </w:r>
      <w:r w:rsidR="0059755A">
        <w:rPr>
          <w:rFonts w:eastAsia="Arial" w:cs="Times New Roman"/>
          <w:b/>
          <w:bCs/>
          <w:sz w:val="24"/>
          <w:szCs w:val="24"/>
        </w:rPr>
        <w:t>30</w:t>
      </w:r>
      <w:r w:rsidR="006A1A7D" w:rsidRPr="00A10558">
        <w:rPr>
          <w:rFonts w:eastAsia="Arial" w:cs="Times New Roman"/>
          <w:b/>
          <w:bCs/>
          <w:sz w:val="24"/>
          <w:szCs w:val="24"/>
        </w:rPr>
        <w:t xml:space="preserve"> </w:t>
      </w:r>
      <w:r w:rsidR="009B7BDA" w:rsidRPr="00A10558">
        <w:rPr>
          <w:rFonts w:eastAsia="Arial" w:cs="Times New Roman"/>
          <w:b/>
          <w:bCs/>
          <w:sz w:val="24"/>
          <w:szCs w:val="24"/>
        </w:rPr>
        <w:t>/0</w:t>
      </w:r>
      <w:r w:rsidR="006A1A7D" w:rsidRPr="00A10558">
        <w:rPr>
          <w:rFonts w:eastAsia="Arial" w:cs="Times New Roman"/>
          <w:b/>
          <w:bCs/>
          <w:sz w:val="24"/>
          <w:szCs w:val="24"/>
        </w:rPr>
        <w:t>4</w:t>
      </w:r>
      <w:r w:rsidR="00DC4270" w:rsidRPr="00A10558">
        <w:rPr>
          <w:rFonts w:eastAsia="Arial" w:cs="Times New Roman"/>
          <w:b/>
          <w:bCs/>
          <w:sz w:val="24"/>
          <w:szCs w:val="24"/>
        </w:rPr>
        <w:t>/202</w:t>
      </w:r>
      <w:r w:rsidR="006944C6" w:rsidRPr="00A10558">
        <w:rPr>
          <w:rFonts w:eastAsia="Arial" w:cs="Times New Roman"/>
          <w:b/>
          <w:bCs/>
          <w:sz w:val="24"/>
          <w:szCs w:val="24"/>
        </w:rPr>
        <w:t>1</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lastRenderedPageBreak/>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70DAD61E"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504D2A" w:rsidRPr="00A10558">
        <w:rPr>
          <w:rFonts w:cs="Times New Roman"/>
          <w:sz w:val="24"/>
          <w:szCs w:val="24"/>
        </w:rPr>
        <w:t>1</w:t>
      </w:r>
      <w:r w:rsidR="00F63FE4" w:rsidRPr="00A10558">
        <w:rPr>
          <w:rFonts w:cs="Times New Roman"/>
          <w:sz w:val="24"/>
          <w:szCs w:val="24"/>
        </w:rPr>
        <w:t>% (</w:t>
      </w:r>
      <w:r w:rsidR="00504D2A" w:rsidRPr="00A10558">
        <w:rPr>
          <w:rFonts w:cs="Times New Roman"/>
          <w:sz w:val="24"/>
          <w:szCs w:val="24"/>
        </w:rPr>
        <w:t>um</w:t>
      </w:r>
      <w:r w:rsidR="00F63FE4" w:rsidRPr="00A10558">
        <w:rPr>
          <w:rFonts w:cs="Times New Roman"/>
          <w:sz w:val="24"/>
          <w:szCs w:val="24"/>
        </w:rPr>
        <w:t xml:space="preserve">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8.22 O pregoeiro solicitará ao licitante </w:t>
      </w:r>
      <w:proofErr w:type="gramStart"/>
      <w:r w:rsidRPr="00A10558">
        <w:rPr>
          <w:rFonts w:cs="Times New Roman"/>
          <w:sz w:val="24"/>
          <w:szCs w:val="24"/>
        </w:rPr>
        <w:t>melhor</w:t>
      </w:r>
      <w:proofErr w:type="gramEnd"/>
      <w:r w:rsidRPr="00A10558">
        <w:rPr>
          <w:rFonts w:cs="Times New Roman"/>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3B37D259" w14:textId="77777777" w:rsidR="00A21D76"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44D07238"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F63FE4" w:rsidRPr="00A10558">
        <w:rPr>
          <w:rFonts w:eastAsia="Arial" w:cs="Times New Roman"/>
          <w:sz w:val="24"/>
          <w:szCs w:val="24"/>
        </w:rPr>
        <w:t>global</w:t>
      </w:r>
      <w:r w:rsidR="00973CC1">
        <w:rPr>
          <w:rFonts w:eastAsia="Arial" w:cs="Times New Roman"/>
          <w:sz w:val="24"/>
          <w:szCs w:val="24"/>
        </w:rPr>
        <w:t>/lote</w:t>
      </w:r>
      <w:r w:rsidRPr="00A10558">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w:t>
      </w:r>
      <w:proofErr w:type="gramStart"/>
      <w:r w:rsidRPr="00A10558">
        <w:rPr>
          <w:rFonts w:cs="Times New Roman"/>
          <w:sz w:val="24"/>
          <w:szCs w:val="24"/>
        </w:rPr>
        <w:t>justificativa valores</w:t>
      </w:r>
      <w:proofErr w:type="gramEnd"/>
      <w:r w:rsidRPr="00A10558">
        <w:rPr>
          <w:rFonts w:cs="Times New Roman"/>
          <w:sz w:val="24"/>
          <w:szCs w:val="24"/>
        </w:rPr>
        <w:t xml:space="preserve"> irrisórios ou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1CC49395"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p w14:paraId="7D6FAAA6" w14:textId="77777777" w:rsidR="00A21D76" w:rsidRPr="00D826B7" w:rsidRDefault="00A21D76" w:rsidP="00A21D76">
      <w:pPr>
        <w:pStyle w:val="Standard"/>
        <w:rPr>
          <w:rFonts w:ascii="Arial" w:hAnsi="Arial" w:cs="Arial"/>
          <w:b/>
          <w:bCs/>
        </w:rPr>
      </w:pPr>
    </w:p>
    <w:tbl>
      <w:tblPr>
        <w:tblW w:w="10565" w:type="dxa"/>
        <w:tblInd w:w="-3" w:type="dxa"/>
        <w:tblLayout w:type="fixed"/>
        <w:tblCellMar>
          <w:left w:w="10" w:type="dxa"/>
          <w:right w:w="10" w:type="dxa"/>
        </w:tblCellMar>
        <w:tblLook w:val="04A0" w:firstRow="1" w:lastRow="0" w:firstColumn="1" w:lastColumn="0" w:noHBand="0" w:noVBand="1"/>
      </w:tblPr>
      <w:tblGrid>
        <w:gridCol w:w="851"/>
        <w:gridCol w:w="709"/>
        <w:gridCol w:w="3969"/>
        <w:gridCol w:w="850"/>
        <w:gridCol w:w="1134"/>
        <w:gridCol w:w="1559"/>
        <w:gridCol w:w="1493"/>
      </w:tblGrid>
      <w:tr w:rsidR="00A21D76" w14:paraId="0A55E039" w14:textId="77777777" w:rsidTr="00A21D76">
        <w:trPr>
          <w:trHeight w:val="650"/>
        </w:trPr>
        <w:tc>
          <w:tcPr>
            <w:tcW w:w="851" w:type="dxa"/>
            <w:tcBorders>
              <w:top w:val="single" w:sz="2" w:space="0" w:color="000000"/>
              <w:left w:val="single" w:sz="2" w:space="0" w:color="000000"/>
              <w:bottom w:val="single" w:sz="4" w:space="0" w:color="auto"/>
              <w:right w:val="nil"/>
            </w:tcBorders>
            <w:shd w:val="clear" w:color="auto" w:fill="E7E6E6" w:themeFill="background2"/>
            <w:vAlign w:val="center"/>
            <w:hideMark/>
          </w:tcPr>
          <w:p w14:paraId="3FF292EC" w14:textId="77777777" w:rsidR="00A21D76" w:rsidRPr="00A21D76" w:rsidRDefault="00A21D76" w:rsidP="00A21D76">
            <w:pPr>
              <w:pStyle w:val="Standard"/>
              <w:spacing w:before="57" w:after="57" w:line="360" w:lineRule="auto"/>
              <w:jc w:val="center"/>
              <w:rPr>
                <w:rFonts w:ascii="Arial" w:hAnsi="Arial" w:cs="Arial"/>
                <w:b/>
                <w:bCs/>
              </w:rPr>
            </w:pPr>
            <w:r w:rsidRPr="00A21D76">
              <w:rPr>
                <w:rFonts w:ascii="Arial" w:hAnsi="Arial" w:cs="Arial"/>
                <w:b/>
                <w:bCs/>
              </w:rPr>
              <w:t>LOTE</w:t>
            </w:r>
          </w:p>
        </w:tc>
        <w:tc>
          <w:tcPr>
            <w:tcW w:w="70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7FB41DF" w14:textId="77777777" w:rsidR="00A21D76" w:rsidRPr="00A21D76" w:rsidRDefault="00A21D76" w:rsidP="00A21D76">
            <w:pPr>
              <w:pStyle w:val="Standard"/>
              <w:spacing w:before="57" w:after="57" w:line="360" w:lineRule="auto"/>
              <w:jc w:val="center"/>
              <w:rPr>
                <w:rFonts w:ascii="Arial" w:hAnsi="Arial" w:cs="Arial"/>
                <w:b/>
                <w:bCs/>
              </w:rPr>
            </w:pPr>
            <w:r w:rsidRPr="00A21D76">
              <w:rPr>
                <w:rFonts w:ascii="Arial" w:hAnsi="Arial" w:cs="Arial"/>
                <w:b/>
                <w:bCs/>
              </w:rPr>
              <w:t>ITEM</w:t>
            </w:r>
          </w:p>
        </w:tc>
        <w:tc>
          <w:tcPr>
            <w:tcW w:w="396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D1AF58E" w14:textId="77777777" w:rsidR="00A21D76" w:rsidRPr="00A21D76" w:rsidRDefault="00A21D76" w:rsidP="00A21D76">
            <w:pPr>
              <w:pStyle w:val="Standard"/>
              <w:spacing w:before="57" w:after="57" w:line="360" w:lineRule="auto"/>
              <w:jc w:val="center"/>
              <w:rPr>
                <w:rFonts w:ascii="Arial" w:hAnsi="Arial" w:cs="Arial"/>
                <w:b/>
                <w:bCs/>
              </w:rPr>
            </w:pPr>
            <w:r w:rsidRPr="00A21D76">
              <w:rPr>
                <w:rFonts w:ascii="Arial" w:hAnsi="Arial" w:cs="Arial"/>
                <w:b/>
                <w:bCs/>
              </w:rPr>
              <w:t>DESCRIÇÃO</w:t>
            </w:r>
          </w:p>
        </w:tc>
        <w:tc>
          <w:tcPr>
            <w:tcW w:w="850"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6E4B37DA" w14:textId="34265780" w:rsidR="00A21D76" w:rsidRPr="00A21D76" w:rsidRDefault="00A21D76" w:rsidP="00A21D76">
            <w:pPr>
              <w:pStyle w:val="Standard"/>
              <w:spacing w:before="57" w:after="57" w:line="360" w:lineRule="auto"/>
              <w:jc w:val="center"/>
              <w:rPr>
                <w:rFonts w:ascii="Arial" w:hAnsi="Arial" w:cs="Arial"/>
                <w:b/>
                <w:bCs/>
              </w:rPr>
            </w:pPr>
            <w:r w:rsidRPr="00A21D76">
              <w:rPr>
                <w:rFonts w:ascii="Arial" w:hAnsi="Arial" w:cs="Arial"/>
                <w:b/>
                <w:bCs/>
              </w:rPr>
              <w:t>QUANT</w:t>
            </w:r>
          </w:p>
        </w:tc>
        <w:tc>
          <w:tcPr>
            <w:tcW w:w="1134"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6AA9C48" w14:textId="77777777" w:rsidR="00A21D76" w:rsidRPr="00A21D76" w:rsidRDefault="00A21D76" w:rsidP="00A21D76">
            <w:pPr>
              <w:pStyle w:val="Standard"/>
              <w:spacing w:before="57" w:after="57" w:line="360" w:lineRule="auto"/>
              <w:jc w:val="center"/>
              <w:rPr>
                <w:rFonts w:ascii="Arial" w:hAnsi="Arial" w:cs="Arial"/>
                <w:b/>
                <w:bCs/>
              </w:rPr>
            </w:pPr>
            <w:r w:rsidRPr="00A21D76">
              <w:rPr>
                <w:rFonts w:ascii="Arial" w:hAnsi="Arial" w:cs="Arial"/>
                <w:b/>
                <w:bCs/>
              </w:rPr>
              <w:t>UNIDADE</w:t>
            </w:r>
          </w:p>
        </w:tc>
        <w:tc>
          <w:tcPr>
            <w:tcW w:w="155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6A3A5A2F" w14:textId="2D398438" w:rsidR="00A21D76" w:rsidRPr="00A21D76" w:rsidRDefault="00A21D76" w:rsidP="00A21D76">
            <w:pPr>
              <w:pStyle w:val="Standard"/>
              <w:spacing w:before="57" w:after="57" w:line="360" w:lineRule="auto"/>
              <w:jc w:val="center"/>
              <w:rPr>
                <w:rFonts w:ascii="Arial" w:hAnsi="Arial" w:cs="Arial"/>
                <w:b/>
                <w:bCs/>
              </w:rPr>
            </w:pPr>
            <w:r w:rsidRPr="00A21D76">
              <w:rPr>
                <w:rFonts w:ascii="Arial" w:hAnsi="Arial" w:cs="Arial"/>
                <w:b/>
                <w:bCs/>
              </w:rPr>
              <w:t>PREÇO UNITÁRIO</w:t>
            </w:r>
            <w:r>
              <w:rPr>
                <w:rFonts w:ascii="Arial" w:hAnsi="Arial" w:cs="Arial"/>
                <w:b/>
                <w:bCs/>
              </w:rPr>
              <w:t xml:space="preserve"> (R$)</w:t>
            </w:r>
          </w:p>
        </w:tc>
        <w:tc>
          <w:tcPr>
            <w:tcW w:w="1493" w:type="dxa"/>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hideMark/>
          </w:tcPr>
          <w:p w14:paraId="5BA2A9B8" w14:textId="06846CF9" w:rsidR="00A21D76" w:rsidRPr="00A21D76" w:rsidRDefault="00A21D76" w:rsidP="00A21D76">
            <w:pPr>
              <w:pStyle w:val="Standard"/>
              <w:spacing w:before="57" w:after="57" w:line="360" w:lineRule="auto"/>
              <w:jc w:val="center"/>
              <w:rPr>
                <w:rFonts w:ascii="Arial" w:hAnsi="Arial" w:cs="Arial"/>
                <w:b/>
                <w:bCs/>
              </w:rPr>
            </w:pPr>
            <w:r w:rsidRPr="00A21D76">
              <w:rPr>
                <w:rFonts w:ascii="Arial" w:hAnsi="Arial" w:cs="Arial"/>
                <w:b/>
                <w:bCs/>
              </w:rPr>
              <w:t>PREÇO GLOBAL</w:t>
            </w:r>
            <w:r>
              <w:rPr>
                <w:rFonts w:ascii="Arial" w:hAnsi="Arial" w:cs="Arial"/>
                <w:b/>
                <w:bCs/>
              </w:rPr>
              <w:t xml:space="preserve"> (R$)</w:t>
            </w:r>
          </w:p>
        </w:tc>
      </w:tr>
      <w:tr w:rsidR="00A21D76" w14:paraId="17DB936F" w14:textId="77777777" w:rsidTr="00A21D76">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B879F29" w14:textId="77777777" w:rsidR="00A21D76" w:rsidRDefault="00A21D76" w:rsidP="00A21D76">
            <w:pPr>
              <w:jc w:val="center"/>
              <w:rPr>
                <w:rFonts w:ascii="Arial" w:hAnsi="Arial" w:cs="Arial"/>
                <w:b/>
                <w:bCs/>
                <w:sz w:val="20"/>
                <w:szCs w:val="20"/>
              </w:rPr>
            </w:pPr>
            <w:r>
              <w:rPr>
                <w:rFonts w:ascii="Arial" w:hAnsi="Arial" w:cs="Arial"/>
                <w:b/>
                <w:bCs/>
                <w:sz w:val="20"/>
                <w:szCs w:val="20"/>
              </w:rPr>
              <w:t>LOTE 1</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3CF1A111" w14:textId="77777777" w:rsidR="00A21D76" w:rsidRDefault="00A21D76" w:rsidP="00A21D76">
            <w:pPr>
              <w:pStyle w:val="Standard"/>
              <w:spacing w:before="57" w:after="57" w:line="360" w:lineRule="auto"/>
              <w:jc w:val="center"/>
              <w:rPr>
                <w:rFonts w:ascii="Arial" w:hAnsi="Arial" w:cs="Arial"/>
              </w:rPr>
            </w:pPr>
            <w:r>
              <w:rPr>
                <w:rFonts w:ascii="Arial" w:hAnsi="Arial" w:cs="Arial"/>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1CBCD35B" w14:textId="77777777" w:rsidR="00A21D76" w:rsidRDefault="00A21D76" w:rsidP="00A21D76">
            <w:pPr>
              <w:pStyle w:val="Standard"/>
              <w:spacing w:before="57" w:after="57" w:line="360" w:lineRule="auto"/>
              <w:jc w:val="center"/>
              <w:rPr>
                <w:rFonts w:ascii="Arial" w:hAnsi="Arial" w:cs="Arial"/>
                <w:shd w:val="clear" w:color="auto" w:fill="FFFFFF" w:themeFill="background1"/>
              </w:rPr>
            </w:pPr>
            <w:r>
              <w:rPr>
                <w:rFonts w:ascii="Arial" w:hAnsi="Arial" w:cs="Arial"/>
                <w:shd w:val="clear" w:color="auto" w:fill="FFFFFF" w:themeFill="background1"/>
              </w:rPr>
              <w:t xml:space="preserve">Subscrição de licenças </w:t>
            </w:r>
            <w:r w:rsidRPr="00F048B0">
              <w:rPr>
                <w:rFonts w:ascii="Arial" w:hAnsi="Arial" w:cs="Arial"/>
                <w:i/>
                <w:iCs/>
                <w:shd w:val="clear" w:color="auto" w:fill="FFFFFF" w:themeFill="background1"/>
              </w:rPr>
              <w:t xml:space="preserve">Tableau </w:t>
            </w:r>
            <w:proofErr w:type="spellStart"/>
            <w:r w:rsidRPr="00F048B0">
              <w:rPr>
                <w:rFonts w:ascii="Arial" w:hAnsi="Arial" w:cs="Arial"/>
                <w:i/>
                <w:iCs/>
                <w:shd w:val="clear" w:color="auto" w:fill="FFFFFF" w:themeFill="background1"/>
              </w:rPr>
              <w:t>Viewer</w:t>
            </w:r>
            <w:proofErr w:type="spellEnd"/>
            <w:r>
              <w:rPr>
                <w:rFonts w:ascii="Arial" w:hAnsi="Arial" w:cs="Arial"/>
                <w:shd w:val="clear" w:color="auto" w:fill="FFFFFF" w:themeFill="background1"/>
              </w:rPr>
              <w:t xml:space="preserve"> mediante substituição de licença perpétua</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3051D28" w14:textId="77777777" w:rsidR="00A21D76" w:rsidRDefault="00A21D76" w:rsidP="00A21D76">
            <w:pPr>
              <w:pStyle w:val="Standard"/>
              <w:spacing w:before="57" w:after="57" w:line="360" w:lineRule="auto"/>
              <w:jc w:val="center"/>
              <w:rPr>
                <w:rFonts w:ascii="Arial" w:hAnsi="Arial" w:cs="Arial"/>
                <w:highlight w:val="red"/>
              </w:rPr>
            </w:pPr>
            <w:r>
              <w:rPr>
                <w:rFonts w:ascii="Arial" w:hAnsi="Arial" w:cs="Arial"/>
              </w:rPr>
              <w:t>88</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463C4BDE" w14:textId="77777777" w:rsidR="00A21D76" w:rsidRDefault="00A21D76" w:rsidP="00A21D76">
            <w:pPr>
              <w:pStyle w:val="Standard"/>
              <w:spacing w:before="57" w:after="57" w:line="360" w:lineRule="auto"/>
              <w:jc w:val="center"/>
              <w:rPr>
                <w:rFonts w:ascii="Arial" w:hAnsi="Arial" w:cs="Arial"/>
              </w:rPr>
            </w:pPr>
            <w:r>
              <w:rPr>
                <w:rFonts w:ascii="Arial" w:hAnsi="Arial" w:cs="Arial"/>
              </w:rPr>
              <w:t>Subscrição</w:t>
            </w:r>
          </w:p>
          <w:p w14:paraId="1237504E" w14:textId="77777777" w:rsidR="00A21D76" w:rsidRDefault="00A21D76" w:rsidP="00A21D76">
            <w:pPr>
              <w:pStyle w:val="Standard"/>
              <w:spacing w:before="57" w:after="57" w:line="360" w:lineRule="auto"/>
              <w:jc w:val="center"/>
              <w:rPr>
                <w:rFonts w:ascii="Arial" w:hAnsi="Arial" w:cs="Arial"/>
              </w:rPr>
            </w:pPr>
            <w:r>
              <w:rPr>
                <w:rFonts w:ascii="Arial" w:hAnsi="Arial" w:cs="Arial"/>
              </w:rPr>
              <w:t>(36 meses)</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106CD7" w14:textId="15076424" w:rsidR="00A21D76" w:rsidRDefault="00364FEC" w:rsidP="00A21D76">
            <w:pPr>
              <w:pStyle w:val="Standard"/>
              <w:spacing w:before="57" w:after="57" w:line="360" w:lineRule="auto"/>
              <w:jc w:val="center"/>
              <w:rPr>
                <w:rFonts w:ascii="Arial" w:hAnsi="Arial" w:cs="Arial"/>
              </w:rPr>
            </w:pPr>
            <w:r>
              <w:rPr>
                <w:rFonts w:ascii="Arial" w:hAnsi="Arial" w:cs="Arial"/>
              </w:rPr>
              <w:t>2.974,80</w:t>
            </w: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2C7043" w14:textId="627068D2" w:rsidR="00A21D76" w:rsidRDefault="00A21D76" w:rsidP="00A21D76">
            <w:pPr>
              <w:pStyle w:val="Standard"/>
              <w:spacing w:before="57" w:after="57" w:line="360" w:lineRule="auto"/>
              <w:jc w:val="center"/>
              <w:rPr>
                <w:rFonts w:ascii="Arial" w:hAnsi="Arial" w:cs="Arial"/>
              </w:rPr>
            </w:pPr>
            <w:r>
              <w:rPr>
                <w:rFonts w:ascii="Arial" w:hAnsi="Arial" w:cs="Arial"/>
              </w:rPr>
              <w:t>261.782,40</w:t>
            </w:r>
          </w:p>
        </w:tc>
      </w:tr>
      <w:tr w:rsidR="00A21D76" w14:paraId="00B930A3" w14:textId="77777777" w:rsidTr="00A21D76">
        <w:tc>
          <w:tcPr>
            <w:tcW w:w="851" w:type="dxa"/>
            <w:vMerge/>
            <w:tcBorders>
              <w:top w:val="single" w:sz="4" w:space="0" w:color="auto"/>
              <w:left w:val="single" w:sz="4" w:space="0" w:color="auto"/>
              <w:bottom w:val="single" w:sz="4" w:space="0" w:color="auto"/>
              <w:right w:val="single" w:sz="4" w:space="0" w:color="auto"/>
            </w:tcBorders>
            <w:vAlign w:val="center"/>
            <w:hideMark/>
          </w:tcPr>
          <w:p w14:paraId="5DB3BBAD" w14:textId="77777777" w:rsidR="00A21D76" w:rsidRDefault="00A21D76" w:rsidP="00A21D76">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5333B815" w14:textId="77777777" w:rsidR="00A21D76" w:rsidRDefault="00A21D76" w:rsidP="00A21D76">
            <w:pPr>
              <w:pStyle w:val="Standard"/>
              <w:spacing w:before="57" w:after="57" w:line="360" w:lineRule="auto"/>
              <w:jc w:val="center"/>
              <w:rPr>
                <w:rFonts w:ascii="Arial" w:hAnsi="Arial" w:cs="Arial"/>
              </w:rPr>
            </w:pPr>
            <w:r>
              <w:rPr>
                <w:rFonts w:ascii="Arial" w:hAnsi="Arial" w:cs="Arial"/>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0229EE7A" w14:textId="77777777" w:rsidR="00A21D76" w:rsidRDefault="00A21D76" w:rsidP="00A21D76">
            <w:pPr>
              <w:pStyle w:val="Standard"/>
              <w:spacing w:before="57" w:after="57" w:line="360" w:lineRule="auto"/>
              <w:jc w:val="center"/>
              <w:rPr>
                <w:rFonts w:ascii="Arial" w:hAnsi="Arial" w:cs="Arial"/>
                <w:shd w:val="clear" w:color="auto" w:fill="FFFFFF" w:themeFill="background1"/>
              </w:rPr>
            </w:pPr>
            <w:r>
              <w:rPr>
                <w:rFonts w:ascii="Arial" w:hAnsi="Arial" w:cs="Arial"/>
                <w:shd w:val="clear" w:color="auto" w:fill="FFFFFF" w:themeFill="background1"/>
              </w:rPr>
              <w:t xml:space="preserve">Subscrição de licenças de </w:t>
            </w:r>
            <w:r w:rsidRPr="00F048B0">
              <w:rPr>
                <w:rFonts w:ascii="Arial" w:hAnsi="Arial" w:cs="Arial"/>
                <w:i/>
                <w:iCs/>
                <w:shd w:val="clear" w:color="auto" w:fill="FFFFFF" w:themeFill="background1"/>
              </w:rPr>
              <w:t xml:space="preserve">Tableau </w:t>
            </w:r>
            <w:proofErr w:type="spellStart"/>
            <w:r w:rsidRPr="00F048B0">
              <w:rPr>
                <w:rFonts w:ascii="Arial" w:hAnsi="Arial" w:cs="Arial"/>
                <w:i/>
                <w:iCs/>
                <w:shd w:val="clear" w:color="auto" w:fill="FFFFFF" w:themeFill="background1"/>
              </w:rPr>
              <w:t>Creator</w:t>
            </w:r>
            <w:proofErr w:type="spellEnd"/>
            <w:r>
              <w:rPr>
                <w:rFonts w:ascii="Arial" w:hAnsi="Arial" w:cs="Arial"/>
                <w:shd w:val="clear" w:color="auto" w:fill="FFFFFF" w:themeFill="background1"/>
              </w:rPr>
              <w:t xml:space="preserve"> mediante substituição de licença perpétua</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DAE6091" w14:textId="77777777" w:rsidR="00A21D76" w:rsidRDefault="00A21D76" w:rsidP="00A21D76">
            <w:pPr>
              <w:pStyle w:val="Standard"/>
              <w:spacing w:before="57" w:after="57" w:line="360" w:lineRule="auto"/>
              <w:jc w:val="center"/>
              <w:rPr>
                <w:rFonts w:ascii="Arial" w:hAnsi="Arial" w:cs="Arial"/>
                <w:highlight w:val="red"/>
              </w:rPr>
            </w:pPr>
            <w:r>
              <w:rPr>
                <w:rFonts w:ascii="Arial" w:hAnsi="Arial" w:cs="Arial"/>
              </w:rPr>
              <w:t>32</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45BB4E87" w14:textId="77777777" w:rsidR="00A21D76" w:rsidRDefault="00A21D76" w:rsidP="00A21D76">
            <w:pPr>
              <w:pStyle w:val="Standard"/>
              <w:spacing w:before="57" w:after="57" w:line="360" w:lineRule="auto"/>
              <w:jc w:val="center"/>
              <w:rPr>
                <w:rFonts w:ascii="Arial" w:hAnsi="Arial" w:cs="Arial"/>
              </w:rPr>
            </w:pPr>
            <w:r>
              <w:rPr>
                <w:rFonts w:ascii="Arial" w:hAnsi="Arial" w:cs="Arial"/>
              </w:rPr>
              <w:t>Subscrição</w:t>
            </w:r>
          </w:p>
          <w:p w14:paraId="3DC07632" w14:textId="77777777" w:rsidR="00A21D76" w:rsidRDefault="00A21D76" w:rsidP="00A21D76">
            <w:pPr>
              <w:pStyle w:val="Standard"/>
              <w:spacing w:before="57" w:after="57" w:line="360" w:lineRule="auto"/>
              <w:jc w:val="center"/>
              <w:rPr>
                <w:rFonts w:ascii="Arial" w:hAnsi="Arial" w:cs="Arial"/>
              </w:rPr>
            </w:pPr>
            <w:r>
              <w:rPr>
                <w:rFonts w:ascii="Arial" w:hAnsi="Arial" w:cs="Arial"/>
              </w:rPr>
              <w:t>(36 meses)</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833E3F" w14:textId="49B67C96" w:rsidR="00A21D76" w:rsidRDefault="00364FEC" w:rsidP="00A21D76">
            <w:pPr>
              <w:pStyle w:val="Standard"/>
              <w:spacing w:before="57" w:after="57" w:line="360" w:lineRule="auto"/>
              <w:jc w:val="center"/>
              <w:rPr>
                <w:rFonts w:ascii="Arial" w:hAnsi="Arial" w:cs="Arial"/>
              </w:rPr>
            </w:pPr>
            <w:r>
              <w:rPr>
                <w:rFonts w:ascii="Arial" w:hAnsi="Arial" w:cs="Arial"/>
              </w:rPr>
              <w:t>11.264,40</w:t>
            </w: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F7C7D0" w14:textId="410201C9" w:rsidR="00A21D76" w:rsidRDefault="00A21D76" w:rsidP="00A21D76">
            <w:pPr>
              <w:pStyle w:val="Standard"/>
              <w:spacing w:before="57" w:after="57" w:line="360" w:lineRule="auto"/>
              <w:jc w:val="center"/>
              <w:rPr>
                <w:rFonts w:ascii="Arial" w:hAnsi="Arial" w:cs="Arial"/>
              </w:rPr>
            </w:pPr>
            <w:r>
              <w:rPr>
                <w:rFonts w:ascii="Arial" w:hAnsi="Arial" w:cs="Arial"/>
              </w:rPr>
              <w:t>360.460,80</w:t>
            </w:r>
          </w:p>
        </w:tc>
      </w:tr>
      <w:tr w:rsidR="00A21D76" w14:paraId="431C7B1A" w14:textId="77777777" w:rsidTr="00A21D76">
        <w:tc>
          <w:tcPr>
            <w:tcW w:w="907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2351BB" w14:textId="77777777" w:rsidR="00A21D76" w:rsidRDefault="00A21D76" w:rsidP="00A21D76">
            <w:pPr>
              <w:pStyle w:val="Standard"/>
              <w:spacing w:before="57" w:after="57" w:line="360" w:lineRule="auto"/>
              <w:jc w:val="center"/>
              <w:rPr>
                <w:rFonts w:ascii="Arial" w:hAnsi="Arial" w:cs="Arial"/>
                <w:color w:val="FFFFFF" w:themeColor="background1"/>
              </w:rPr>
            </w:pPr>
            <w:r w:rsidRPr="00A21D76">
              <w:rPr>
                <w:rFonts w:ascii="Arial" w:hAnsi="Arial" w:cs="Arial"/>
                <w:b/>
                <w:bCs/>
              </w:rPr>
              <w:t>TOTAL GLOBAL (R$)</w:t>
            </w:r>
          </w:p>
        </w:tc>
        <w:tc>
          <w:tcPr>
            <w:tcW w:w="14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A571C" w14:textId="0F650A34" w:rsidR="00A21D76" w:rsidRPr="00364FEC" w:rsidRDefault="00364FEC" w:rsidP="00A21D76">
            <w:pPr>
              <w:pStyle w:val="Standard"/>
              <w:spacing w:before="57" w:after="57" w:line="360" w:lineRule="auto"/>
              <w:jc w:val="center"/>
              <w:rPr>
                <w:rFonts w:ascii="Arial" w:hAnsi="Arial" w:cs="Arial"/>
                <w:b/>
                <w:bCs/>
                <w:color w:val="FFFFFF" w:themeColor="background1"/>
              </w:rPr>
            </w:pPr>
            <w:r w:rsidRPr="00364FEC">
              <w:rPr>
                <w:rFonts w:ascii="Arial" w:hAnsi="Arial" w:cs="Arial"/>
                <w:b/>
                <w:bCs/>
              </w:rPr>
              <w:t>622.243,20</w:t>
            </w:r>
          </w:p>
        </w:tc>
      </w:tr>
    </w:tbl>
    <w:p w14:paraId="36AB7B8C" w14:textId="77777777" w:rsidR="00A21D76" w:rsidRPr="006D4411" w:rsidRDefault="00A21D76" w:rsidP="00A21D76">
      <w:pPr>
        <w:pStyle w:val="Standard"/>
        <w:rPr>
          <w:rFonts w:ascii="Arial" w:hAnsi="Arial" w:cs="Arial"/>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lastRenderedPageBreak/>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lastRenderedPageBreak/>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A10558">
        <w:rPr>
          <w:rFonts w:eastAsia="Times New Roman" w:cs="Times New Roman"/>
          <w:color w:val="000000"/>
          <w:sz w:val="24"/>
          <w:szCs w:val="24"/>
          <w:lang w:eastAsia="pt-BR"/>
        </w:rPr>
        <w:t>preços global</w:t>
      </w:r>
      <w:proofErr w:type="gramEnd"/>
      <w:r w:rsidRPr="00A10558">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A10558"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A10558" w:rsidRDefault="007311B9" w:rsidP="007311B9">
      <w:pPr>
        <w:pStyle w:val="Corpodetexto2"/>
        <w:tabs>
          <w:tab w:val="left" w:pos="15"/>
        </w:tabs>
        <w:spacing w:line="360" w:lineRule="auto"/>
        <w:ind w:firstLine="1417"/>
        <w:jc w:val="both"/>
        <w:rPr>
          <w:rFonts w:cs="Times New Roman"/>
          <w:b/>
          <w:bCs/>
          <w:szCs w:val="24"/>
        </w:rPr>
      </w:pPr>
      <w:r w:rsidRPr="00A10558">
        <w:rPr>
          <w:rFonts w:cs="Times New Roman"/>
          <w:szCs w:val="24"/>
        </w:rPr>
        <w:t xml:space="preserve">10.7 </w:t>
      </w:r>
      <w:r w:rsidRPr="00A10558">
        <w:rPr>
          <w:rFonts w:cs="Times New Roman"/>
          <w:b/>
          <w:bCs/>
          <w:szCs w:val="24"/>
        </w:rPr>
        <w:t>Qualificação Técnica</w:t>
      </w:r>
    </w:p>
    <w:p w14:paraId="70E2A331" w14:textId="37BBDD97" w:rsidR="007311B9" w:rsidRDefault="007311B9" w:rsidP="007311B9">
      <w:pPr>
        <w:pStyle w:val="western"/>
        <w:spacing w:before="0" w:after="0" w:line="360" w:lineRule="auto"/>
        <w:jc w:val="both"/>
        <w:rPr>
          <w:rFonts w:ascii="Times New Roman" w:hAnsi="Times New Roman" w:cs="Times New Roman"/>
          <w:color w:val="000000"/>
          <w:sz w:val="24"/>
          <w:szCs w:val="24"/>
        </w:rPr>
      </w:pPr>
      <w:r w:rsidRPr="00A10558">
        <w:rPr>
          <w:rFonts w:ascii="Times New Roman" w:hAnsi="Times New Roman" w:cs="Times New Roman"/>
          <w:color w:val="000000"/>
          <w:sz w:val="24"/>
          <w:szCs w:val="24"/>
        </w:rPr>
        <w:tab/>
      </w:r>
      <w:r w:rsidRPr="00A10558">
        <w:rPr>
          <w:rFonts w:ascii="Times New Roman" w:hAnsi="Times New Roman" w:cs="Times New Roman"/>
          <w:color w:val="000000"/>
          <w:sz w:val="24"/>
          <w:szCs w:val="24"/>
        </w:rPr>
        <w:tab/>
        <w:t>10.7.1</w:t>
      </w:r>
      <w:r w:rsidR="00BD6559" w:rsidRPr="00A10558">
        <w:rPr>
          <w:rFonts w:ascii="Times New Roman" w:hAnsi="Times New Roman" w:cs="Times New Roman"/>
          <w:color w:val="000000"/>
          <w:sz w:val="24"/>
          <w:szCs w:val="24"/>
        </w:rPr>
        <w:t xml:space="preserve"> </w:t>
      </w:r>
      <w:r w:rsidR="00364FEC">
        <w:rPr>
          <w:rFonts w:ascii="Times New Roman" w:hAnsi="Times New Roman" w:cs="Times New Roman"/>
          <w:color w:val="000000"/>
          <w:sz w:val="24"/>
          <w:szCs w:val="24"/>
        </w:rPr>
        <w:t>A licitante vencedora deverá ser credenciada pela fabricante como parceira oficial, bem como ser capaz de comercializar as subscrições contratadas sem qualquer tipo de credenciamento;</w:t>
      </w:r>
    </w:p>
    <w:p w14:paraId="3D30CD10" w14:textId="461A1F09" w:rsidR="00364FEC" w:rsidRPr="00A10558" w:rsidRDefault="00364FEC" w:rsidP="007311B9">
      <w:pPr>
        <w:pStyle w:val="western"/>
        <w:spacing w:before="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10.7.2 Poe iniciativa própria, o CNMP poderá promover </w:t>
      </w:r>
      <w:proofErr w:type="spellStart"/>
      <w:r>
        <w:rPr>
          <w:rFonts w:ascii="Times New Roman" w:hAnsi="Times New Roman" w:cs="Times New Roman"/>
          <w:color w:val="000000"/>
          <w:sz w:val="24"/>
          <w:szCs w:val="24"/>
        </w:rPr>
        <w:t>diligênicias</w:t>
      </w:r>
      <w:proofErr w:type="spellEnd"/>
      <w:r>
        <w:rPr>
          <w:rFonts w:ascii="Times New Roman" w:hAnsi="Times New Roman" w:cs="Times New Roman"/>
          <w:color w:val="000000"/>
          <w:sz w:val="24"/>
          <w:szCs w:val="24"/>
        </w:rPr>
        <w:t xml:space="preserve"> que comprovem a plena relação comercial entre a licitante vencedora e a fabricante da solução.</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 xml:space="preserve">10.8 </w:t>
      </w:r>
      <w:r w:rsidRPr="00A10558">
        <w:rPr>
          <w:rFonts w:eastAsia="Times New Roman" w:cs="Times New Roman"/>
          <w:b/>
          <w:color w:val="000000"/>
          <w:szCs w:val="24"/>
          <w:lang w:bidi="ar-SA"/>
        </w:rPr>
        <w:t>Documentação complementar:</w:t>
      </w:r>
    </w:p>
    <w:p w14:paraId="2598903A" w14:textId="58A50ADF"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 xml:space="preserve">10.8.1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10.9 A verificação em sítios oficia</w:t>
      </w:r>
      <w:r w:rsidRPr="00A10558">
        <w:rPr>
          <w:rFonts w:eastAsia="Times New Roman" w:cs="Times New Roman"/>
          <w:color w:val="000000"/>
          <w:szCs w:val="24"/>
        </w:rPr>
        <w:t>is de órgão e entidades emissores de certidões constitui meio legal de prova.</w:t>
      </w:r>
    </w:p>
    <w:p w14:paraId="36B58693"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tab/>
        <w:t xml:space="preserve"> </w:t>
      </w:r>
      <w:r w:rsidRPr="00A10558">
        <w:rPr>
          <w:rFonts w:eastAsia="Times New Roman" w:cs="Times New Roman"/>
          <w:color w:val="000000"/>
          <w:szCs w:val="24"/>
        </w:rPr>
        <w:tab/>
      </w:r>
      <w:r w:rsidRPr="00A10558">
        <w:rPr>
          <w:rFonts w:eastAsia="Times New Roman" w:cs="Times New Roman"/>
          <w:color w:val="000000"/>
          <w:szCs w:val="24"/>
        </w:rPr>
        <w:tab/>
        <w:t xml:space="preserve">10.10 </w:t>
      </w:r>
      <w:r w:rsidRPr="00A10558">
        <w:rPr>
          <w:rFonts w:cs="Times New Roman"/>
          <w:szCs w:val="24"/>
        </w:rPr>
        <w:t xml:space="preserve">Havendo a necessidade de envio de documentos de habilitação complementares, necessários à confirmação daqueles exigidos neste Edital e já apresentados, o licitante será convocado </w:t>
      </w:r>
      <w:r w:rsidRPr="00A10558">
        <w:rPr>
          <w:rFonts w:cs="Times New Roman"/>
          <w:szCs w:val="24"/>
        </w:rPr>
        <w:lastRenderedPageBreak/>
        <w:t>a encaminhá-los, em formato digital, via sistema, no prazo de 02 (duas) horas, sob pena de inabilitação.</w:t>
      </w:r>
    </w:p>
    <w:p w14:paraId="6CF88460"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 xml:space="preserve">10.14.1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 xml:space="preserve">apresentados com validade expirada, se não for </w:t>
      </w:r>
      <w:proofErr w:type="gramStart"/>
      <w:r w:rsidRPr="00A10558">
        <w:rPr>
          <w:rFonts w:cs="Times New Roman"/>
          <w:b/>
          <w:bCs/>
          <w:szCs w:val="24"/>
        </w:rPr>
        <w:t>falta</w:t>
      </w:r>
      <w:proofErr w:type="gramEnd"/>
      <w:r w:rsidRPr="00A10558">
        <w:rPr>
          <w:rFonts w:cs="Times New Roman"/>
          <w:b/>
          <w:bCs/>
          <w:szCs w:val="24"/>
        </w:rPr>
        <w:t xml:space="preserve"> sanável, acarretarão a INABILITAÇÃO do proponente.</w:t>
      </w:r>
      <w:r w:rsidRPr="00A10558">
        <w:rPr>
          <w:rFonts w:cs="Times New Roman"/>
          <w:szCs w:val="24"/>
        </w:rPr>
        <w:t xml:space="preserve"> </w:t>
      </w:r>
    </w:p>
    <w:p w14:paraId="642E84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 xml:space="preserve">10.18 O licitante deverá declarar quaisquer fatos supervenientes à inscrição cadastral </w:t>
      </w:r>
      <w:r w:rsidRPr="00A10558">
        <w:rPr>
          <w:rFonts w:eastAsia="Times New Roman" w:cs="Times New Roman"/>
          <w:color w:val="000000"/>
          <w:szCs w:val="24"/>
        </w:rPr>
        <w:lastRenderedPageBreak/>
        <w:t>impeditivos de sua habilitação.</w:t>
      </w:r>
    </w:p>
    <w:p w14:paraId="5843F1F0" w14:textId="77777777"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 xml:space="preserve">10.19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7777777"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w:t>
      </w:r>
      <w:r w:rsidRPr="00A10558">
        <w:rPr>
          <w:rFonts w:cs="Times New Roman"/>
          <w:b/>
          <w:bCs/>
          <w:color w:val="000000"/>
          <w:sz w:val="24"/>
          <w:szCs w:val="24"/>
        </w:rPr>
        <w:lastRenderedPageBreak/>
        <w:t>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17DC0A1C"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b) multa, a ser recolhida no prazo máximo de 5 (cinco) dias úteis, a contar da comunicação oficial, na</w:t>
      </w:r>
      <w:r w:rsidR="000F316F" w:rsidRPr="00A10558">
        <w:rPr>
          <w:rFonts w:ascii="Times New Roman" w:hAnsi="Times New Roman" w:cs="Times New Roman"/>
          <w:sz w:val="24"/>
          <w:szCs w:val="24"/>
        </w:rPr>
        <w:t xml:space="preserve">s hipóteses previstas no item </w:t>
      </w:r>
      <w:r w:rsidR="00F81C2B" w:rsidRPr="00A10558">
        <w:rPr>
          <w:rFonts w:ascii="Times New Roman" w:hAnsi="Times New Roman" w:cs="Times New Roman"/>
          <w:sz w:val="24"/>
          <w:szCs w:val="24"/>
        </w:rPr>
        <w:t>2</w:t>
      </w:r>
      <w:r w:rsidR="00364FEC">
        <w:rPr>
          <w:rFonts w:ascii="Times New Roman" w:hAnsi="Times New Roman" w:cs="Times New Roman"/>
          <w:sz w:val="24"/>
          <w:szCs w:val="24"/>
        </w:rPr>
        <w:t>1</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8711BA" w:rsidRPr="00A10558">
        <w:rPr>
          <w:rFonts w:ascii="Times New Roman" w:hAnsi="Times New Roman" w:cs="Times New Roman"/>
          <w:sz w:val="24"/>
          <w:szCs w:val="24"/>
        </w:rPr>
        <w:t xml:space="preserve">item </w:t>
      </w:r>
      <w:r w:rsidR="00F81C2B" w:rsidRPr="00A10558">
        <w:rPr>
          <w:rFonts w:ascii="Times New Roman" w:hAnsi="Times New Roman" w:cs="Times New Roman"/>
          <w:sz w:val="24"/>
          <w:szCs w:val="24"/>
        </w:rPr>
        <w:t>2</w:t>
      </w:r>
      <w:r w:rsidR="00AD59CD">
        <w:rPr>
          <w:rFonts w:ascii="Times New Roman" w:hAnsi="Times New Roman" w:cs="Times New Roman"/>
          <w:sz w:val="24"/>
          <w:szCs w:val="24"/>
        </w:rPr>
        <w:t>2</w:t>
      </w:r>
      <w:r w:rsidR="008711BA"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 xml:space="preserve">- </w:t>
      </w:r>
      <w:r w:rsidR="008711BA" w:rsidRPr="00A10558">
        <w:rPr>
          <w:rFonts w:ascii="Times New Roman" w:hAnsi="Times New Roman" w:cs="Times New Roman"/>
          <w:sz w:val="24"/>
          <w:szCs w:val="24"/>
        </w:rPr>
        <w:t xml:space="preserve">Tabela de </w:t>
      </w:r>
      <w:r w:rsidR="00327E3D" w:rsidRPr="00A10558">
        <w:rPr>
          <w:rFonts w:ascii="Times New Roman" w:hAnsi="Times New Roman" w:cs="Times New Roman"/>
          <w:sz w:val="24"/>
          <w:szCs w:val="24"/>
        </w:rPr>
        <w:t>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A10558">
        <w:rPr>
          <w:rFonts w:cs="Times New Roman"/>
          <w:sz w:val="24"/>
          <w:szCs w:val="24"/>
        </w:rPr>
        <w:t>Belmont</w:t>
      </w:r>
      <w:proofErr w:type="spellEnd"/>
      <w:r w:rsidRPr="00A10558">
        <w:rPr>
          <w:rFonts w:cs="Times New Roman"/>
          <w:sz w:val="24"/>
          <w:szCs w:val="24"/>
        </w:rPr>
        <w: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1C71DF8A"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DA ASSINATURA DO CONT</w:t>
      </w:r>
      <w:r w:rsidR="00AD59CD">
        <w:rPr>
          <w:rFonts w:cs="Times New Roman"/>
          <w:b/>
          <w:sz w:val="22"/>
          <w:szCs w:val="22"/>
        </w:rPr>
        <w:t>RATO</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3594F89A" w:rsidR="006163E8" w:rsidRPr="00A10558" w:rsidRDefault="006163E8">
      <w:pPr>
        <w:pStyle w:val="western"/>
        <w:spacing w:before="58" w:after="0" w:line="360" w:lineRule="auto"/>
        <w:ind w:firstLine="851"/>
        <w:jc w:val="both"/>
        <w:rPr>
          <w:rFonts w:ascii="Times New Roman" w:hAnsi="Times New Roman" w:cs="Times New Roman"/>
          <w:sz w:val="24"/>
          <w:szCs w:val="24"/>
        </w:rPr>
      </w:pPr>
      <w:r w:rsidRPr="00A10558">
        <w:rPr>
          <w:rFonts w:ascii="Times New Roman" w:hAnsi="Times New Roman" w:cs="Times New Roman"/>
          <w:sz w:val="24"/>
          <w:szCs w:val="24"/>
        </w:rPr>
        <w:tab/>
        <w:t xml:space="preserve">13.1 </w:t>
      </w:r>
      <w:r w:rsidRPr="00A10558">
        <w:rPr>
          <w:rFonts w:ascii="Times New Roman" w:eastAsia="Arial" w:hAnsi="Times New Roman" w:cs="Times New Roman"/>
          <w:sz w:val="24"/>
          <w:szCs w:val="24"/>
        </w:rPr>
        <w:t xml:space="preserve">O contrato terá vigência de </w:t>
      </w:r>
      <w:r w:rsidR="00AD59CD">
        <w:rPr>
          <w:rFonts w:ascii="Times New Roman" w:hAnsi="Times New Roman" w:cs="Times New Roman"/>
          <w:sz w:val="24"/>
          <w:szCs w:val="24"/>
        </w:rPr>
        <w:t>38</w:t>
      </w:r>
      <w:r w:rsidR="00200684" w:rsidRPr="00A10558">
        <w:rPr>
          <w:rFonts w:ascii="Times New Roman" w:hAnsi="Times New Roman" w:cs="Times New Roman"/>
          <w:sz w:val="24"/>
          <w:szCs w:val="24"/>
        </w:rPr>
        <w:t xml:space="preserve"> (</w:t>
      </w:r>
      <w:r w:rsidR="00AD59CD">
        <w:rPr>
          <w:rFonts w:ascii="Times New Roman" w:hAnsi="Times New Roman" w:cs="Times New Roman"/>
          <w:sz w:val="24"/>
          <w:szCs w:val="24"/>
        </w:rPr>
        <w:t>trinta e oito</w:t>
      </w:r>
      <w:r w:rsidR="00200684" w:rsidRPr="00A10558">
        <w:rPr>
          <w:rFonts w:ascii="Times New Roman" w:hAnsi="Times New Roman" w:cs="Times New Roman"/>
          <w:sz w:val="24"/>
          <w:szCs w:val="24"/>
        </w:rPr>
        <w:t>) meses</w:t>
      </w:r>
      <w:r w:rsidR="00E52105" w:rsidRPr="00A10558">
        <w:rPr>
          <w:rFonts w:ascii="Times New Roman" w:eastAsia="Arial" w:hAnsi="Times New Roman" w:cs="Times New Roman"/>
          <w:sz w:val="24"/>
          <w:szCs w:val="24"/>
        </w:rPr>
        <w:t>, a p</w:t>
      </w:r>
      <w:r w:rsidR="00F463EB" w:rsidRPr="00A10558">
        <w:rPr>
          <w:rFonts w:ascii="Times New Roman" w:eastAsia="Arial" w:hAnsi="Times New Roman" w:cs="Times New Roman"/>
          <w:sz w:val="24"/>
          <w:szCs w:val="24"/>
        </w:rPr>
        <w:t xml:space="preserve">artir da data de sua assinatura, </w:t>
      </w:r>
      <w:r w:rsidR="00AD59CD">
        <w:rPr>
          <w:rFonts w:ascii="Times New Roman" w:eastAsia="Arial" w:hAnsi="Times New Roman" w:cs="Times New Roman"/>
          <w:sz w:val="24"/>
          <w:szCs w:val="24"/>
        </w:rPr>
        <w:t>conforme disposto na Seção 12 do Termo de Referência – Anexo I do Edital, não podendo ser prorrogado.</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07547A01" w14:textId="2F11FC0C" w:rsidR="006163E8" w:rsidRPr="00A10558"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 xml:space="preserve">.2 Da mesma forma, a Adjudicatária deverá indicar um preposto </w:t>
      </w:r>
      <w:proofErr w:type="gramStart"/>
      <w:r w:rsidR="006163E8" w:rsidRPr="00A10558">
        <w:rPr>
          <w:rFonts w:cs="Times New Roman"/>
          <w:sz w:val="24"/>
          <w:szCs w:val="24"/>
        </w:rPr>
        <w:t>para, se</w:t>
      </w:r>
      <w:proofErr w:type="gramEnd"/>
      <w:r w:rsidR="006163E8" w:rsidRPr="00A10558">
        <w:rPr>
          <w:rFonts w:cs="Times New Roman"/>
          <w:sz w:val="24"/>
          <w:szCs w:val="24"/>
        </w:rPr>
        <w:t xml:space="preserv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.1 - Serão os constantes no Termo de Referência, Anexo I do Edital.</w:t>
      </w:r>
      <w:r w:rsidRPr="00A10558">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São as constantes do Termo de Referência, Anexo I deste Edital. </w:t>
      </w:r>
      <w:r w:rsidRPr="00A10558">
        <w:rPr>
          <w:rFonts w:eastAsia="Arial" w:cs="Times New Roman"/>
          <w:b/>
          <w:bCs/>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.1 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463F29E8" w14:textId="2F142EC0" w:rsidR="006163E8" w:rsidRPr="00A10558" w:rsidRDefault="006163E8" w:rsidP="002D4E81">
      <w:pPr>
        <w:pStyle w:val="Standard"/>
        <w:spacing w:before="57" w:after="57" w:line="360" w:lineRule="auto"/>
        <w:ind w:firstLine="851"/>
        <w:jc w:val="both"/>
        <w:rPr>
          <w:rFonts w:cs="Times New Roman"/>
          <w:sz w:val="24"/>
          <w:szCs w:val="24"/>
        </w:rPr>
      </w:pPr>
      <w:r w:rsidRPr="00A10558">
        <w:rPr>
          <w:rFonts w:cs="Times New Roman"/>
          <w:bCs/>
          <w:sz w:val="24"/>
          <w:szCs w:val="24"/>
        </w:rPr>
        <w:tab/>
        <w:t>1</w:t>
      </w:r>
      <w:r w:rsidR="006621FA" w:rsidRPr="00A10558">
        <w:rPr>
          <w:rFonts w:cs="Times New Roman"/>
          <w:bCs/>
          <w:sz w:val="24"/>
          <w:szCs w:val="24"/>
        </w:rPr>
        <w:t>8</w:t>
      </w:r>
      <w:r w:rsidRPr="00A10558">
        <w:rPr>
          <w:rFonts w:cs="Times New Roman"/>
          <w:bCs/>
          <w:sz w:val="24"/>
          <w:szCs w:val="24"/>
        </w:rPr>
        <w:t>.1</w:t>
      </w:r>
      <w:r w:rsidRPr="00A10558">
        <w:rPr>
          <w:rFonts w:cs="Times New Roman"/>
          <w:b/>
          <w:bCs/>
          <w:sz w:val="24"/>
          <w:szCs w:val="24"/>
        </w:rPr>
        <w:t xml:space="preserve"> </w:t>
      </w:r>
      <w:r w:rsidR="002D4E81" w:rsidRPr="00A10558">
        <w:rPr>
          <w:rFonts w:cs="Times New Roman"/>
          <w:sz w:val="24"/>
          <w:szCs w:val="24"/>
        </w:rPr>
        <w:t>Os recursos dessa contratação estão consignados no orçamento da União para 202</w:t>
      </w:r>
      <w:r w:rsidR="006944C6" w:rsidRPr="00A10558">
        <w:rPr>
          <w:rFonts w:cs="Times New Roman"/>
          <w:sz w:val="24"/>
          <w:szCs w:val="24"/>
        </w:rPr>
        <w:t>1</w:t>
      </w:r>
      <w:r w:rsidR="002D4E81" w:rsidRPr="00A10558">
        <w:rPr>
          <w:rFonts w:cs="Times New Roman"/>
          <w:sz w:val="24"/>
          <w:szCs w:val="24"/>
        </w:rPr>
        <w:t xml:space="preserve"> </w:t>
      </w:r>
      <w:r w:rsidR="006944C6" w:rsidRPr="00A10558">
        <w:rPr>
          <w:rFonts w:cs="Times New Roman"/>
          <w:sz w:val="24"/>
          <w:szCs w:val="24"/>
        </w:rPr>
        <w:t>no Plano de Ação PG_21_</w:t>
      </w:r>
      <w:r w:rsidR="00AD59CD">
        <w:rPr>
          <w:rFonts w:cs="Times New Roman"/>
          <w:sz w:val="24"/>
          <w:szCs w:val="24"/>
        </w:rPr>
        <w:t>STI</w:t>
      </w:r>
      <w:r w:rsidR="006944C6" w:rsidRPr="00A10558">
        <w:rPr>
          <w:rFonts w:cs="Times New Roman"/>
          <w:sz w:val="24"/>
          <w:szCs w:val="24"/>
        </w:rPr>
        <w:t xml:space="preserve"> _0</w:t>
      </w:r>
      <w:r w:rsidR="00AD59CD">
        <w:rPr>
          <w:rFonts w:cs="Times New Roman"/>
          <w:sz w:val="24"/>
          <w:szCs w:val="24"/>
        </w:rPr>
        <w:t>02</w:t>
      </w:r>
      <w:r w:rsidR="006621FA" w:rsidRPr="00A10558">
        <w:rPr>
          <w:rFonts w:cs="Times New Roman"/>
          <w:sz w:val="24"/>
          <w:szCs w:val="24"/>
        </w:rPr>
        <w:t xml:space="preserve"> </w:t>
      </w:r>
      <w:r w:rsidR="006944C6" w:rsidRPr="00A10558">
        <w:rPr>
          <w:rFonts w:cs="Times New Roman"/>
          <w:sz w:val="24"/>
          <w:szCs w:val="24"/>
        </w:rPr>
        <w:t>– Serviços de Telefonia Fixa Nacional/Internacional</w:t>
      </w:r>
      <w:r w:rsidR="006621FA" w:rsidRPr="00A10558">
        <w:rPr>
          <w:rFonts w:cs="Times New Roman"/>
          <w:sz w:val="24"/>
          <w:szCs w:val="24"/>
        </w:rPr>
        <w:t>, Elemento Contábil 33.90.</w:t>
      </w:r>
      <w:r w:rsidR="00AD59CD">
        <w:rPr>
          <w:rFonts w:cs="Times New Roman"/>
          <w:sz w:val="24"/>
          <w:szCs w:val="24"/>
        </w:rPr>
        <w:t>40-19</w:t>
      </w:r>
      <w:r w:rsidR="006621FA" w:rsidRPr="00A10558">
        <w:rPr>
          <w:rFonts w:cs="Times New Roman"/>
          <w:sz w:val="24"/>
          <w:szCs w:val="24"/>
        </w:rPr>
        <w:t>.</w:t>
      </w:r>
    </w:p>
    <w:p w14:paraId="25F0784D" w14:textId="777777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3E75E7D2" w:rsidR="006163E8" w:rsidRPr="00564C1D"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564C1D">
        <w:rPr>
          <w:rFonts w:eastAsia="Arial" w:cs="Times New Roman"/>
          <w:bCs/>
          <w:sz w:val="24"/>
          <w:szCs w:val="24"/>
        </w:rPr>
        <w:t xml:space="preserve">O pagamento será efetuado conforme </w:t>
      </w:r>
      <w:r w:rsidR="00564C1D" w:rsidRPr="00564C1D">
        <w:rPr>
          <w:rFonts w:eastAsia="Arial" w:cs="Times New Roman"/>
          <w:bCs/>
          <w:sz w:val="24"/>
          <w:szCs w:val="24"/>
        </w:rPr>
        <w:t>a Seção 20 d</w:t>
      </w:r>
      <w:r w:rsidR="006163E8" w:rsidRPr="00564C1D">
        <w:rPr>
          <w:rFonts w:eastAsia="Arial" w:cs="Times New Roman"/>
          <w:bCs/>
          <w:sz w:val="24"/>
          <w:szCs w:val="24"/>
        </w:rPr>
        <w:t>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w:t>
      </w:r>
      <w:proofErr w:type="gramStart"/>
      <w:r w:rsidR="006163E8" w:rsidRPr="00A10558">
        <w:rPr>
          <w:rFonts w:cs="Times New Roman"/>
          <w:sz w:val="24"/>
          <w:szCs w:val="24"/>
        </w:rPr>
        <w:t>aceito</w:t>
      </w:r>
      <w:proofErr w:type="gramEnd"/>
      <w:r w:rsidR="006163E8" w:rsidRPr="00A10558">
        <w:rPr>
          <w:rFonts w:cs="Times New Roman"/>
          <w:sz w:val="24"/>
          <w:szCs w:val="24"/>
        </w:rPr>
        <w:t xml:space="preserve">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.13 </w:t>
      </w:r>
      <w:r w:rsidR="006163E8" w:rsidRPr="00A1055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A10558" w:rsidRDefault="006621FA">
      <w:pPr>
        <w:pStyle w:val="Standard"/>
        <w:spacing w:line="360" w:lineRule="auto"/>
        <w:ind w:firstLine="1417"/>
        <w:jc w:val="both"/>
        <w:rPr>
          <w:rFonts w:cs="Times New Roman"/>
          <w:sz w:val="24"/>
          <w:szCs w:val="24"/>
        </w:rPr>
      </w:pPr>
      <w:r w:rsidRPr="00A10558">
        <w:rPr>
          <w:rFonts w:eastAsia="Times New Roman" w:cs="Times New Roman"/>
          <w:sz w:val="24"/>
          <w:szCs w:val="24"/>
        </w:rPr>
        <w:t>20</w:t>
      </w:r>
      <w:r w:rsidR="006163E8" w:rsidRPr="00A10558">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r>
      <w:r w:rsidR="006621FA" w:rsidRPr="00A10558">
        <w:rPr>
          <w:rFonts w:cs="Times New Roman"/>
          <w:sz w:val="24"/>
          <w:szCs w:val="24"/>
        </w:rPr>
        <w:t>20</w:t>
      </w:r>
      <w:r w:rsidRPr="00A10558">
        <w:rPr>
          <w:rFonts w:cs="Times New Roman"/>
          <w:sz w:val="24"/>
          <w:szCs w:val="24"/>
        </w:rPr>
        <w:t>.15 O CNMP não é unidade cadastradora do SICAF, apenas realiza consulta junto ao mesmo.</w:t>
      </w:r>
    </w:p>
    <w:p w14:paraId="38A5D639" w14:textId="642190FA"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.16 Os casos omissos, bem como dúvidas suscitadas, serão </w:t>
      </w:r>
      <w:proofErr w:type="gramStart"/>
      <w:r w:rsidR="006163E8" w:rsidRPr="00A10558">
        <w:rPr>
          <w:rFonts w:cs="Times New Roman"/>
          <w:sz w:val="24"/>
          <w:szCs w:val="24"/>
        </w:rPr>
        <w:t>dirimidas</w:t>
      </w:r>
      <w:proofErr w:type="gramEnd"/>
      <w:r w:rsidR="006163E8" w:rsidRPr="00A10558">
        <w:rPr>
          <w:rFonts w:cs="Times New Roman"/>
          <w:sz w:val="24"/>
          <w:szCs w:val="24"/>
        </w:rPr>
        <w:t xml:space="preserve"> pelo Pregoeiro através do correio eletrônico </w:t>
      </w:r>
      <w:r w:rsidR="006163E8" w:rsidRPr="00A10558">
        <w:rPr>
          <w:rFonts w:cs="Times New Roman"/>
          <w:bCs/>
          <w:sz w:val="24"/>
          <w:szCs w:val="24"/>
        </w:rPr>
        <w:t>licitacoes@cnmp.mp.br.</w:t>
      </w:r>
    </w:p>
    <w:p w14:paraId="68A2038E" w14:textId="1D2A1A0C" w:rsidR="006163E8" w:rsidRPr="00A10558" w:rsidRDefault="006621FA">
      <w:pPr>
        <w:pStyle w:val="Standard"/>
        <w:tabs>
          <w:tab w:val="left" w:pos="360"/>
        </w:tabs>
        <w:spacing w:line="360" w:lineRule="auto"/>
        <w:ind w:firstLine="1417"/>
        <w:jc w:val="both"/>
        <w:rPr>
          <w:rFonts w:cs="Times New Roman"/>
          <w:sz w:val="24"/>
          <w:szCs w:val="24"/>
        </w:rPr>
      </w:pPr>
      <w:r w:rsidRPr="00A10558">
        <w:rPr>
          <w:rStyle w:val="Internetlink"/>
          <w:rFonts w:cs="Times New Roman"/>
          <w:color w:val="00000A"/>
          <w:sz w:val="24"/>
          <w:szCs w:val="24"/>
          <w:u w:val="none"/>
        </w:rPr>
        <w:t>20</w:t>
      </w:r>
      <w:r w:rsidR="006163E8" w:rsidRPr="00A10558">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A10558" w:rsidRDefault="006163E8">
      <w:pPr>
        <w:pStyle w:val="Standard"/>
        <w:tabs>
          <w:tab w:val="left" w:pos="360"/>
        </w:tabs>
        <w:spacing w:line="360" w:lineRule="auto"/>
        <w:ind w:firstLine="1417"/>
        <w:jc w:val="both"/>
        <w:rPr>
          <w:rFonts w:cs="Times New Roman"/>
          <w:sz w:val="24"/>
          <w:szCs w:val="24"/>
        </w:rPr>
      </w:pPr>
    </w:p>
    <w:p w14:paraId="0C615489" w14:textId="4E1E25A0" w:rsidR="006163E8" w:rsidRPr="00A10558" w:rsidRDefault="006163E8">
      <w:pPr>
        <w:pStyle w:val="Standard"/>
        <w:tabs>
          <w:tab w:val="left" w:pos="2520"/>
        </w:tabs>
        <w:spacing w:line="360" w:lineRule="auto"/>
        <w:ind w:firstLine="1417"/>
        <w:jc w:val="right"/>
        <w:rPr>
          <w:rFonts w:cs="Times New Roman"/>
          <w:sz w:val="24"/>
          <w:szCs w:val="24"/>
        </w:rPr>
      </w:pPr>
      <w:r w:rsidRPr="00A10558">
        <w:rPr>
          <w:rFonts w:eastAsia="Times New Roman" w:cs="Times New Roman"/>
          <w:sz w:val="24"/>
          <w:szCs w:val="24"/>
        </w:rPr>
        <w:t xml:space="preserve">                    </w:t>
      </w:r>
      <w:proofErr w:type="gramStart"/>
      <w:r w:rsidR="00A523DC" w:rsidRPr="00A10558">
        <w:rPr>
          <w:rFonts w:cs="Times New Roman"/>
          <w:sz w:val="24"/>
          <w:szCs w:val="24"/>
        </w:rPr>
        <w:t xml:space="preserve">Brasília,   </w:t>
      </w:r>
      <w:proofErr w:type="gramEnd"/>
      <w:r w:rsidR="00A523DC" w:rsidRPr="00A10558">
        <w:rPr>
          <w:rFonts w:cs="Times New Roman"/>
          <w:sz w:val="24"/>
          <w:szCs w:val="24"/>
        </w:rPr>
        <w:t xml:space="preserve">     de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6944C6" w:rsidRPr="00A10558">
        <w:rPr>
          <w:rFonts w:cs="Times New Roman"/>
          <w:sz w:val="24"/>
          <w:szCs w:val="24"/>
        </w:rPr>
        <w:t>1</w:t>
      </w:r>
      <w:r w:rsidRPr="00A10558">
        <w:rPr>
          <w:rFonts w:cs="Times New Roman"/>
          <w:sz w:val="24"/>
          <w:szCs w:val="24"/>
        </w:rPr>
        <w:t>.</w:t>
      </w:r>
    </w:p>
    <w:p w14:paraId="2BA226A1" w14:textId="77777777" w:rsidR="006163E8" w:rsidRPr="00A10558" w:rsidRDefault="006163E8">
      <w:pPr>
        <w:pStyle w:val="Standard"/>
        <w:spacing w:line="360" w:lineRule="auto"/>
        <w:jc w:val="center"/>
        <w:rPr>
          <w:rFonts w:cs="Times New Roman"/>
          <w:b/>
          <w:sz w:val="24"/>
          <w:szCs w:val="24"/>
          <w:u w:val="double"/>
        </w:rPr>
      </w:pPr>
    </w:p>
    <w:p w14:paraId="17AD93B2" w14:textId="77777777" w:rsidR="006163E8" w:rsidRPr="00A10558" w:rsidRDefault="006163E8">
      <w:pPr>
        <w:pStyle w:val="Standard"/>
        <w:spacing w:line="360" w:lineRule="auto"/>
        <w:jc w:val="center"/>
        <w:rPr>
          <w:rFonts w:cs="Times New Roman"/>
          <w:b/>
          <w:sz w:val="24"/>
          <w:szCs w:val="24"/>
          <w:u w:val="double"/>
        </w:rPr>
      </w:pPr>
    </w:p>
    <w:p w14:paraId="59F94A14"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Marciel Rubens da Silva</w:t>
      </w:r>
    </w:p>
    <w:p w14:paraId="78BAD0E4" w14:textId="77777777" w:rsidR="006163E8" w:rsidRPr="00A10558" w:rsidRDefault="006163E8">
      <w:pPr>
        <w:pStyle w:val="Standard"/>
        <w:spacing w:line="360" w:lineRule="auto"/>
        <w:jc w:val="center"/>
        <w:rPr>
          <w:rFonts w:cs="Times New Roman"/>
          <w:sz w:val="24"/>
          <w:szCs w:val="24"/>
        </w:rPr>
        <w:sectPr w:rsidR="006163E8" w:rsidRPr="00A10558">
          <w:headerReference w:type="default" r:id="rId21"/>
          <w:footerReference w:type="default" r:id="rId22"/>
          <w:pgSz w:w="11906" w:h="16838"/>
          <w:pgMar w:top="1746" w:right="1134" w:bottom="1740" w:left="1134" w:header="720" w:footer="720" w:gutter="0"/>
          <w:cols w:space="720"/>
          <w:docGrid w:linePitch="360"/>
        </w:sectPr>
      </w:pPr>
      <w:r w:rsidRPr="00A10558">
        <w:rPr>
          <w:rFonts w:cs="Times New Roman"/>
          <w:sz w:val="24"/>
          <w:szCs w:val="24"/>
        </w:rPr>
        <w:t>Pregoeiro/CNMP</w:t>
      </w:r>
    </w:p>
    <w:p w14:paraId="0B09F94C" w14:textId="16377A34"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6944C6" w:rsidRPr="00A10558">
        <w:rPr>
          <w:rFonts w:cs="Times New Roman"/>
          <w:b/>
          <w:sz w:val="24"/>
          <w:szCs w:val="24"/>
          <w:u w:val="single"/>
        </w:rPr>
        <w:t>0</w:t>
      </w:r>
      <w:r w:rsidR="0099730B">
        <w:rPr>
          <w:rFonts w:cs="Times New Roman"/>
          <w:b/>
          <w:sz w:val="24"/>
          <w:szCs w:val="24"/>
          <w:u w:val="single"/>
        </w:rPr>
        <w:t>7</w:t>
      </w:r>
      <w:r w:rsidR="005564FC" w:rsidRPr="00A10558">
        <w:rPr>
          <w:rFonts w:cs="Times New Roman"/>
          <w:b/>
          <w:sz w:val="24"/>
          <w:szCs w:val="24"/>
          <w:u w:val="single"/>
        </w:rPr>
        <w:t>/202</w:t>
      </w:r>
      <w:r w:rsidR="006944C6" w:rsidRPr="00A10558">
        <w:rPr>
          <w:rFonts w:cs="Times New Roman"/>
          <w:b/>
          <w:sz w:val="24"/>
          <w:szCs w:val="24"/>
          <w:u w:val="single"/>
        </w:rPr>
        <w:t>1</w:t>
      </w:r>
    </w:p>
    <w:p w14:paraId="6C059424"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6702576C" w14:textId="393257D6"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3" w:anchor="_blank" w:history="1">
        <w:r w:rsidR="00F10B0B" w:rsidRPr="00A10558">
          <w:rPr>
            <w:rStyle w:val="Hyperlink"/>
            <w:rFonts w:cs="Times New Roman"/>
            <w:b/>
            <w:color w:val="000000"/>
            <w:sz w:val="24"/>
            <w:szCs w:val="24"/>
          </w:rPr>
          <w:t>19.00.6</w:t>
        </w:r>
        <w:r w:rsidR="0031340D">
          <w:rPr>
            <w:rStyle w:val="Hyperlink"/>
            <w:rFonts w:cs="Times New Roman"/>
            <w:b/>
            <w:color w:val="000000"/>
            <w:sz w:val="24"/>
            <w:szCs w:val="24"/>
          </w:rPr>
          <w:t>321</w:t>
        </w:r>
        <w:r w:rsidR="00F10B0B" w:rsidRPr="00A10558">
          <w:rPr>
            <w:rStyle w:val="Hyperlink"/>
            <w:rFonts w:cs="Times New Roman"/>
            <w:b/>
            <w:color w:val="000000"/>
            <w:sz w:val="24"/>
            <w:szCs w:val="24"/>
          </w:rPr>
          <w:t>.000</w:t>
        </w:r>
        <w:r w:rsidR="0031340D">
          <w:rPr>
            <w:rStyle w:val="Hyperlink"/>
            <w:rFonts w:cs="Times New Roman"/>
            <w:b/>
            <w:color w:val="000000"/>
            <w:sz w:val="24"/>
            <w:szCs w:val="24"/>
          </w:rPr>
          <w:t>0847</w:t>
        </w:r>
        <w:r w:rsidR="00F10B0B" w:rsidRPr="00A10558">
          <w:rPr>
            <w:rStyle w:val="Hyperlink"/>
            <w:rFonts w:cs="Times New Roman"/>
            <w:b/>
            <w:color w:val="000000"/>
            <w:sz w:val="24"/>
            <w:szCs w:val="24"/>
          </w:rPr>
          <w:t>/202</w:t>
        </w:r>
        <w:r w:rsidR="0031340D">
          <w:rPr>
            <w:rStyle w:val="Hyperlink"/>
            <w:rFonts w:cs="Times New Roman"/>
            <w:b/>
            <w:color w:val="000000"/>
            <w:sz w:val="24"/>
            <w:szCs w:val="24"/>
          </w:rPr>
          <w:t>1</w:t>
        </w:r>
        <w:r w:rsidR="00F10B0B" w:rsidRPr="00A10558">
          <w:rPr>
            <w:rStyle w:val="Hyperlink"/>
            <w:rFonts w:cs="Times New Roman"/>
            <w:b/>
            <w:color w:val="000000"/>
            <w:sz w:val="24"/>
            <w:szCs w:val="24"/>
          </w:rPr>
          <w:t>-</w:t>
        </w:r>
      </w:hyperlink>
      <w:r w:rsidR="0031340D">
        <w:rPr>
          <w:rStyle w:val="Hyperlink"/>
          <w:rFonts w:cs="Times New Roman"/>
          <w:b/>
          <w:color w:val="000000"/>
          <w:sz w:val="24"/>
          <w:szCs w:val="24"/>
        </w:rPr>
        <w:t>91</w:t>
      </w:r>
    </w:p>
    <w:p w14:paraId="148FAB4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66204FF1" w14:textId="77777777" w:rsidR="006163E8" w:rsidRPr="00A10558" w:rsidRDefault="006163E8">
      <w:pPr>
        <w:pStyle w:val="Standard"/>
        <w:spacing w:line="360" w:lineRule="auto"/>
        <w:jc w:val="center"/>
        <w:rPr>
          <w:rFonts w:cs="Times New Roman"/>
          <w:b/>
          <w:bCs/>
          <w:sz w:val="24"/>
          <w:szCs w:val="24"/>
          <w:u w:val="single"/>
        </w:rPr>
      </w:pPr>
    </w:p>
    <w:p w14:paraId="4D5DE999" w14:textId="77777777" w:rsidR="006163E8" w:rsidRPr="00A10558" w:rsidRDefault="006163E8">
      <w:pPr>
        <w:pStyle w:val="Standard"/>
        <w:spacing w:line="360" w:lineRule="auto"/>
        <w:jc w:val="center"/>
        <w:rPr>
          <w:rFonts w:cs="Times New Roman"/>
          <w:sz w:val="24"/>
          <w:szCs w:val="24"/>
        </w:rPr>
      </w:pPr>
      <w:r w:rsidRPr="00A10558">
        <w:rPr>
          <w:rFonts w:eastAsia="Times New Roman" w:cs="Times New Roman"/>
          <w:b/>
          <w:bCs/>
          <w:sz w:val="24"/>
          <w:szCs w:val="24"/>
          <w:u w:val="single"/>
        </w:rPr>
        <w:t>ANEXO I</w:t>
      </w:r>
    </w:p>
    <w:p w14:paraId="2DBF0D7D" w14:textId="77777777" w:rsidR="006163E8" w:rsidRPr="00A10558" w:rsidRDefault="006163E8">
      <w:pPr>
        <w:pStyle w:val="Standard"/>
        <w:spacing w:line="360" w:lineRule="auto"/>
        <w:jc w:val="center"/>
        <w:rPr>
          <w:rFonts w:eastAsia="Times New Roman" w:cs="Times New Roman"/>
          <w:b/>
          <w:bCs/>
          <w:sz w:val="24"/>
          <w:szCs w:val="24"/>
          <w:u w:val="single"/>
        </w:rPr>
      </w:pPr>
    </w:p>
    <w:p w14:paraId="6C90FB6D" w14:textId="77777777" w:rsidR="006163E8" w:rsidRPr="00A10558" w:rsidRDefault="006163E8">
      <w:pPr>
        <w:jc w:val="center"/>
        <w:rPr>
          <w:rFonts w:cs="Times New Roman"/>
        </w:rPr>
      </w:pPr>
      <w:r w:rsidRPr="00A10558">
        <w:rPr>
          <w:rFonts w:cs="Times New Roman"/>
          <w:b/>
          <w:u w:val="single"/>
        </w:rPr>
        <w:t>TERMO DE REFERÊNCIA</w:t>
      </w:r>
    </w:p>
    <w:p w14:paraId="40BD6BE6" w14:textId="77777777" w:rsidR="00B8254B" w:rsidRPr="00A10558" w:rsidRDefault="00B8254B" w:rsidP="00B8254B">
      <w:pPr>
        <w:pStyle w:val="western"/>
        <w:spacing w:before="0" w:after="0"/>
        <w:jc w:val="center"/>
        <w:rPr>
          <w:rFonts w:ascii="Times New Roman" w:hAnsi="Times New Roman" w:cs="Times New Roman"/>
          <w:sz w:val="24"/>
          <w:szCs w:val="24"/>
        </w:rPr>
      </w:pPr>
    </w:p>
    <w:p w14:paraId="5CB4FE87" w14:textId="77777777" w:rsidR="00AD59CD" w:rsidRPr="00AD59CD" w:rsidRDefault="00AD59CD" w:rsidP="00AD59CD">
      <w:pPr>
        <w:pStyle w:val="Standard"/>
        <w:rPr>
          <w:rFonts w:cs="Times New Roman"/>
          <w:sz w:val="24"/>
          <w:szCs w:val="24"/>
        </w:rPr>
      </w:pPr>
    </w:p>
    <w:p w14:paraId="269572DC" w14:textId="77777777" w:rsidR="00AD59CD" w:rsidRPr="00AD59CD" w:rsidRDefault="00AD59CD" w:rsidP="00A16FF6">
      <w:pPr>
        <w:pStyle w:val="Standard"/>
        <w:widowControl w:val="0"/>
        <w:numPr>
          <w:ilvl w:val="0"/>
          <w:numId w:val="31"/>
        </w:numPr>
        <w:autoSpaceDN w:val="0"/>
        <w:spacing w:before="57" w:after="57" w:line="360" w:lineRule="auto"/>
        <w:jc w:val="both"/>
        <w:rPr>
          <w:rFonts w:cs="Times New Roman"/>
          <w:b/>
          <w:bCs/>
          <w:sz w:val="24"/>
          <w:szCs w:val="24"/>
        </w:rPr>
      </w:pPr>
      <w:r w:rsidRPr="00AD59CD">
        <w:rPr>
          <w:rFonts w:cs="Times New Roman"/>
          <w:b/>
          <w:bCs/>
          <w:sz w:val="24"/>
          <w:szCs w:val="24"/>
        </w:rPr>
        <w:t>OBJETO</w:t>
      </w:r>
    </w:p>
    <w:p w14:paraId="4E643863" w14:textId="77777777" w:rsidR="00AD59CD" w:rsidRPr="00AD59CD" w:rsidRDefault="00AD59CD" w:rsidP="00AD59CD">
      <w:pPr>
        <w:pStyle w:val="Standard"/>
        <w:spacing w:before="57" w:after="57" w:line="360" w:lineRule="auto"/>
        <w:ind w:left="360"/>
        <w:jc w:val="both"/>
        <w:rPr>
          <w:rFonts w:cs="Times New Roman"/>
          <w:sz w:val="24"/>
          <w:szCs w:val="24"/>
        </w:rPr>
      </w:pPr>
      <w:r w:rsidRPr="00AD59CD">
        <w:rPr>
          <w:rFonts w:cs="Times New Roman"/>
          <w:sz w:val="24"/>
          <w:szCs w:val="24"/>
        </w:rPr>
        <w:t xml:space="preserve">Contratação de subscrições </w:t>
      </w:r>
      <w:r w:rsidRPr="00AD59CD">
        <w:rPr>
          <w:rFonts w:cs="Times New Roman"/>
          <w:i/>
          <w:iCs/>
          <w:sz w:val="24"/>
          <w:szCs w:val="24"/>
        </w:rPr>
        <w:t xml:space="preserve">Tableau </w:t>
      </w:r>
      <w:proofErr w:type="spellStart"/>
      <w:r w:rsidRPr="00AD59CD">
        <w:rPr>
          <w:rFonts w:cs="Times New Roman"/>
          <w:i/>
          <w:iCs/>
          <w:sz w:val="24"/>
          <w:szCs w:val="24"/>
        </w:rPr>
        <w:t>Creator</w:t>
      </w:r>
      <w:proofErr w:type="spellEnd"/>
      <w:r w:rsidRPr="00AD59CD">
        <w:rPr>
          <w:rFonts w:cs="Times New Roman"/>
          <w:sz w:val="24"/>
          <w:szCs w:val="24"/>
        </w:rPr>
        <w:t xml:space="preserve"> e </w:t>
      </w:r>
      <w:r w:rsidRPr="00AD59CD">
        <w:rPr>
          <w:rFonts w:cs="Times New Roman"/>
          <w:i/>
          <w:iCs/>
          <w:sz w:val="24"/>
          <w:szCs w:val="24"/>
        </w:rPr>
        <w:t xml:space="preserve">Tableau </w:t>
      </w:r>
      <w:proofErr w:type="spellStart"/>
      <w:r w:rsidRPr="00AD59CD">
        <w:rPr>
          <w:rFonts w:cs="Times New Roman"/>
          <w:i/>
          <w:iCs/>
          <w:sz w:val="24"/>
          <w:szCs w:val="24"/>
        </w:rPr>
        <w:t>Viewer</w:t>
      </w:r>
      <w:proofErr w:type="spellEnd"/>
      <w:r w:rsidRPr="00AD59CD">
        <w:rPr>
          <w:rFonts w:cs="Times New Roman"/>
          <w:sz w:val="24"/>
          <w:szCs w:val="24"/>
        </w:rPr>
        <w:t xml:space="preserve">, contemplando migração de licenças perpétuas </w:t>
      </w:r>
      <w:r w:rsidRPr="00AD59CD">
        <w:rPr>
          <w:rFonts w:cs="Times New Roman"/>
          <w:i/>
          <w:iCs/>
          <w:sz w:val="24"/>
          <w:szCs w:val="24"/>
        </w:rPr>
        <w:t>Tableau Desktop Professional</w:t>
      </w:r>
      <w:r w:rsidRPr="00AD59CD">
        <w:rPr>
          <w:rFonts w:cs="Times New Roman"/>
          <w:sz w:val="24"/>
          <w:szCs w:val="24"/>
        </w:rPr>
        <w:t xml:space="preserve"> e </w:t>
      </w:r>
      <w:r w:rsidRPr="00AD59CD">
        <w:rPr>
          <w:rFonts w:cs="Times New Roman"/>
          <w:i/>
          <w:iCs/>
          <w:sz w:val="24"/>
          <w:szCs w:val="24"/>
        </w:rPr>
        <w:t xml:space="preserve">Tableau </w:t>
      </w:r>
      <w:proofErr w:type="spellStart"/>
      <w:r w:rsidRPr="00AD59CD">
        <w:rPr>
          <w:rFonts w:cs="Times New Roman"/>
          <w:i/>
          <w:iCs/>
          <w:sz w:val="24"/>
          <w:szCs w:val="24"/>
        </w:rPr>
        <w:t>Interactor</w:t>
      </w:r>
      <w:proofErr w:type="spellEnd"/>
      <w:r w:rsidRPr="00AD59CD">
        <w:rPr>
          <w:rFonts w:cs="Times New Roman"/>
          <w:sz w:val="24"/>
          <w:szCs w:val="24"/>
        </w:rPr>
        <w:t>, previamente adquiridas pelo CNMP.</w:t>
      </w:r>
    </w:p>
    <w:p w14:paraId="75D41F54" w14:textId="77777777" w:rsidR="00AD59CD" w:rsidRPr="00AD59CD" w:rsidRDefault="00AD59CD" w:rsidP="00AD59CD">
      <w:pPr>
        <w:pStyle w:val="Standard"/>
        <w:spacing w:before="57" w:after="57" w:line="360" w:lineRule="auto"/>
        <w:jc w:val="both"/>
        <w:rPr>
          <w:rFonts w:cs="Times New Roman"/>
          <w:b/>
          <w:bCs/>
          <w:sz w:val="24"/>
          <w:szCs w:val="24"/>
        </w:rPr>
      </w:pPr>
    </w:p>
    <w:p w14:paraId="65C2D2E6" w14:textId="77777777" w:rsidR="00AD59CD" w:rsidRPr="00AD59CD" w:rsidRDefault="00AD59CD" w:rsidP="00A16FF6">
      <w:pPr>
        <w:pStyle w:val="Standard"/>
        <w:widowControl w:val="0"/>
        <w:numPr>
          <w:ilvl w:val="1"/>
          <w:numId w:val="31"/>
        </w:numPr>
        <w:autoSpaceDN w:val="0"/>
        <w:spacing w:before="57" w:after="57" w:line="360" w:lineRule="auto"/>
        <w:ind w:left="426"/>
        <w:jc w:val="both"/>
        <w:rPr>
          <w:rFonts w:cs="Times New Roman"/>
          <w:b/>
          <w:bCs/>
          <w:sz w:val="24"/>
          <w:szCs w:val="24"/>
        </w:rPr>
      </w:pPr>
      <w:r w:rsidRPr="00AD59CD">
        <w:rPr>
          <w:rFonts w:cs="Times New Roman"/>
          <w:b/>
          <w:bCs/>
          <w:sz w:val="24"/>
          <w:szCs w:val="24"/>
        </w:rPr>
        <w:t>OBJETO DETALHADO</w:t>
      </w:r>
    </w:p>
    <w:p w14:paraId="7E21A548"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 xml:space="preserve">Contratação de 32 subscrições </w:t>
      </w:r>
      <w:r w:rsidRPr="00AD59CD">
        <w:rPr>
          <w:rFonts w:cs="Times New Roman"/>
          <w:i/>
          <w:iCs/>
          <w:sz w:val="24"/>
          <w:szCs w:val="24"/>
        </w:rPr>
        <w:t xml:space="preserve">Tableau </w:t>
      </w:r>
      <w:proofErr w:type="spellStart"/>
      <w:r w:rsidRPr="00AD59CD">
        <w:rPr>
          <w:rFonts w:cs="Times New Roman"/>
          <w:i/>
          <w:iCs/>
          <w:sz w:val="24"/>
          <w:szCs w:val="24"/>
        </w:rPr>
        <w:t>Creator</w:t>
      </w:r>
      <w:proofErr w:type="spellEnd"/>
      <w:r w:rsidRPr="00AD59CD">
        <w:rPr>
          <w:rFonts w:cs="Times New Roman"/>
          <w:sz w:val="24"/>
          <w:szCs w:val="24"/>
        </w:rPr>
        <w:t xml:space="preserve"> e de 88 subscrições </w:t>
      </w:r>
      <w:r w:rsidRPr="00AD59CD">
        <w:rPr>
          <w:rFonts w:cs="Times New Roman"/>
          <w:i/>
          <w:iCs/>
          <w:sz w:val="24"/>
          <w:szCs w:val="24"/>
        </w:rPr>
        <w:t xml:space="preserve">Tableau </w:t>
      </w:r>
      <w:proofErr w:type="spellStart"/>
      <w:r w:rsidRPr="00AD59CD">
        <w:rPr>
          <w:rFonts w:cs="Times New Roman"/>
          <w:i/>
          <w:iCs/>
          <w:sz w:val="24"/>
          <w:szCs w:val="24"/>
        </w:rPr>
        <w:t>Viewer</w:t>
      </w:r>
      <w:proofErr w:type="spellEnd"/>
      <w:r w:rsidRPr="00AD59CD">
        <w:rPr>
          <w:rFonts w:cs="Times New Roman"/>
          <w:sz w:val="24"/>
          <w:szCs w:val="24"/>
        </w:rPr>
        <w:t xml:space="preserve"> (considerando a conversão de 11 licenças </w:t>
      </w:r>
      <w:r w:rsidRPr="00AD59CD">
        <w:rPr>
          <w:rFonts w:cs="Times New Roman"/>
          <w:i/>
          <w:iCs/>
          <w:sz w:val="24"/>
          <w:szCs w:val="24"/>
        </w:rPr>
        <w:t>Tableau Desktop</w:t>
      </w:r>
      <w:r w:rsidRPr="00AD59CD">
        <w:rPr>
          <w:rFonts w:cs="Times New Roman"/>
          <w:sz w:val="24"/>
          <w:szCs w:val="24"/>
        </w:rPr>
        <w:t xml:space="preserve"> </w:t>
      </w:r>
      <w:r w:rsidRPr="00AD59CD">
        <w:rPr>
          <w:rFonts w:cs="Times New Roman"/>
          <w:i/>
          <w:iCs/>
          <w:sz w:val="24"/>
          <w:szCs w:val="24"/>
        </w:rPr>
        <w:t>Professiona</w:t>
      </w:r>
      <w:r w:rsidRPr="00AD59CD">
        <w:rPr>
          <w:rFonts w:cs="Times New Roman"/>
          <w:sz w:val="24"/>
          <w:szCs w:val="24"/>
        </w:rPr>
        <w:t xml:space="preserve">l e 86 licenças </w:t>
      </w:r>
      <w:r w:rsidRPr="00AD59CD">
        <w:rPr>
          <w:rFonts w:cs="Times New Roman"/>
          <w:i/>
          <w:iCs/>
          <w:sz w:val="24"/>
          <w:szCs w:val="24"/>
        </w:rPr>
        <w:t xml:space="preserve">Tableau </w:t>
      </w:r>
      <w:proofErr w:type="spellStart"/>
      <w:r w:rsidRPr="00AD59CD">
        <w:rPr>
          <w:rFonts w:cs="Times New Roman"/>
          <w:i/>
          <w:iCs/>
          <w:sz w:val="24"/>
          <w:szCs w:val="24"/>
        </w:rPr>
        <w:t>Interactor</w:t>
      </w:r>
      <w:proofErr w:type="spellEnd"/>
      <w:r w:rsidRPr="00AD59CD">
        <w:rPr>
          <w:rFonts w:cs="Times New Roman"/>
          <w:sz w:val="24"/>
          <w:szCs w:val="24"/>
        </w:rPr>
        <w:t xml:space="preserve">) </w:t>
      </w:r>
    </w:p>
    <w:p w14:paraId="6BCEB24A"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A migração das licenças perpétuas Tableau do CNMP para o modelo de subscrição deve obedecer a seguinte disposição (DE/PARA)</w:t>
      </w:r>
    </w:p>
    <w:tbl>
      <w:tblPr>
        <w:tblStyle w:val="Tabelacomgrade"/>
        <w:tblpPr w:leftFromText="141" w:rightFromText="141" w:vertAnchor="text" w:horzAnchor="page" w:tblpX="1942" w:tblpY="105"/>
        <w:tblW w:w="8926" w:type="dxa"/>
        <w:tblLook w:val="04A0" w:firstRow="1" w:lastRow="0" w:firstColumn="1" w:lastColumn="0" w:noHBand="0" w:noVBand="1"/>
      </w:tblPr>
      <w:tblGrid>
        <w:gridCol w:w="2263"/>
        <w:gridCol w:w="2019"/>
        <w:gridCol w:w="2489"/>
        <w:gridCol w:w="2155"/>
      </w:tblGrid>
      <w:tr w:rsidR="00AD59CD" w:rsidRPr="00AD59CD" w14:paraId="0F0BA2C7" w14:textId="77777777" w:rsidTr="0024040C">
        <w:tc>
          <w:tcPr>
            <w:tcW w:w="2263" w:type="dxa"/>
            <w:shd w:val="clear" w:color="auto" w:fill="C00000"/>
            <w:vAlign w:val="center"/>
          </w:tcPr>
          <w:p w14:paraId="739AB9E4" w14:textId="77777777" w:rsidR="00AD59CD" w:rsidRPr="00AD59CD" w:rsidRDefault="00AD59CD" w:rsidP="0024040C">
            <w:pPr>
              <w:pStyle w:val="Standard"/>
              <w:spacing w:before="57" w:after="57" w:line="360" w:lineRule="auto"/>
              <w:jc w:val="center"/>
              <w:rPr>
                <w:rFonts w:cs="Times New Roman"/>
                <w:b/>
                <w:bCs/>
              </w:rPr>
            </w:pPr>
            <w:r w:rsidRPr="00AD59CD">
              <w:rPr>
                <w:rFonts w:cs="Times New Roman"/>
                <w:b/>
                <w:bCs/>
              </w:rPr>
              <w:t>Quantidade Licenças</w:t>
            </w:r>
          </w:p>
          <w:p w14:paraId="11DA4728" w14:textId="77777777" w:rsidR="00AD59CD" w:rsidRPr="00AD59CD" w:rsidRDefault="00AD59CD" w:rsidP="0024040C">
            <w:pPr>
              <w:pStyle w:val="Standard"/>
              <w:spacing w:before="57" w:after="57" w:line="360" w:lineRule="auto"/>
              <w:jc w:val="center"/>
              <w:rPr>
                <w:rFonts w:cs="Times New Roman"/>
                <w:b/>
                <w:bCs/>
              </w:rPr>
            </w:pPr>
            <w:r w:rsidRPr="00AD59CD">
              <w:rPr>
                <w:rFonts w:cs="Times New Roman"/>
                <w:b/>
                <w:bCs/>
              </w:rPr>
              <w:t>Perpétuas para Conversão</w:t>
            </w:r>
          </w:p>
        </w:tc>
        <w:tc>
          <w:tcPr>
            <w:tcW w:w="2019" w:type="dxa"/>
            <w:shd w:val="clear" w:color="auto" w:fill="C00000"/>
            <w:vAlign w:val="center"/>
          </w:tcPr>
          <w:p w14:paraId="7DE88F96" w14:textId="77777777" w:rsidR="00AD59CD" w:rsidRPr="00AD59CD" w:rsidRDefault="00AD59CD" w:rsidP="0024040C">
            <w:pPr>
              <w:pStyle w:val="Standard"/>
              <w:spacing w:before="57" w:after="57" w:line="360" w:lineRule="auto"/>
              <w:jc w:val="center"/>
              <w:rPr>
                <w:rFonts w:cs="Times New Roman"/>
                <w:b/>
                <w:bCs/>
              </w:rPr>
            </w:pPr>
            <w:r w:rsidRPr="00AD59CD">
              <w:rPr>
                <w:rFonts w:cs="Times New Roman"/>
                <w:b/>
                <w:bCs/>
              </w:rPr>
              <w:t>De</w:t>
            </w:r>
          </w:p>
        </w:tc>
        <w:tc>
          <w:tcPr>
            <w:tcW w:w="2489" w:type="dxa"/>
            <w:shd w:val="clear" w:color="auto" w:fill="C00000"/>
            <w:vAlign w:val="center"/>
          </w:tcPr>
          <w:p w14:paraId="5DD96753" w14:textId="77777777" w:rsidR="00AD59CD" w:rsidRPr="00AD59CD" w:rsidRDefault="00AD59CD" w:rsidP="0024040C">
            <w:pPr>
              <w:pStyle w:val="Standard"/>
              <w:spacing w:before="57" w:after="57" w:line="360" w:lineRule="auto"/>
              <w:jc w:val="center"/>
              <w:rPr>
                <w:rFonts w:cs="Times New Roman"/>
                <w:b/>
                <w:bCs/>
              </w:rPr>
            </w:pPr>
            <w:r w:rsidRPr="00AD59CD">
              <w:rPr>
                <w:rFonts w:cs="Times New Roman"/>
                <w:b/>
                <w:bCs/>
              </w:rPr>
              <w:t>Quantidade</w:t>
            </w:r>
          </w:p>
          <w:p w14:paraId="785DC27A" w14:textId="77777777" w:rsidR="00AD59CD" w:rsidRPr="00AD59CD" w:rsidRDefault="00AD59CD" w:rsidP="0024040C">
            <w:pPr>
              <w:pStyle w:val="Standard"/>
              <w:spacing w:before="57" w:after="57" w:line="360" w:lineRule="auto"/>
              <w:jc w:val="center"/>
              <w:rPr>
                <w:rFonts w:cs="Times New Roman"/>
                <w:b/>
                <w:bCs/>
              </w:rPr>
            </w:pPr>
            <w:r w:rsidRPr="00AD59CD">
              <w:rPr>
                <w:rFonts w:cs="Times New Roman"/>
                <w:b/>
                <w:bCs/>
              </w:rPr>
              <w:t>Subscrições</w:t>
            </w:r>
          </w:p>
        </w:tc>
        <w:tc>
          <w:tcPr>
            <w:tcW w:w="2155" w:type="dxa"/>
            <w:shd w:val="clear" w:color="auto" w:fill="C00000"/>
            <w:vAlign w:val="center"/>
          </w:tcPr>
          <w:p w14:paraId="3FFAAEAB" w14:textId="77777777" w:rsidR="00AD59CD" w:rsidRPr="00AD59CD" w:rsidRDefault="00AD59CD" w:rsidP="0024040C">
            <w:pPr>
              <w:pStyle w:val="Standard"/>
              <w:spacing w:before="57" w:after="57" w:line="360" w:lineRule="auto"/>
              <w:jc w:val="center"/>
              <w:rPr>
                <w:rFonts w:cs="Times New Roman"/>
                <w:b/>
                <w:bCs/>
              </w:rPr>
            </w:pPr>
            <w:r w:rsidRPr="00AD59CD">
              <w:rPr>
                <w:rFonts w:cs="Times New Roman"/>
                <w:b/>
                <w:bCs/>
              </w:rPr>
              <w:t>Para</w:t>
            </w:r>
          </w:p>
        </w:tc>
      </w:tr>
      <w:tr w:rsidR="00AD59CD" w:rsidRPr="00AD59CD" w14:paraId="294C8437" w14:textId="77777777" w:rsidTr="0024040C">
        <w:tc>
          <w:tcPr>
            <w:tcW w:w="2263" w:type="dxa"/>
            <w:vAlign w:val="center"/>
          </w:tcPr>
          <w:p w14:paraId="4C7058CD" w14:textId="77777777" w:rsidR="00AD59CD" w:rsidRPr="00AD59CD" w:rsidRDefault="00AD59CD" w:rsidP="0024040C">
            <w:pPr>
              <w:pStyle w:val="Standard"/>
              <w:spacing w:before="57" w:after="57" w:line="360" w:lineRule="auto"/>
              <w:jc w:val="center"/>
              <w:rPr>
                <w:rFonts w:cs="Times New Roman"/>
              </w:rPr>
            </w:pPr>
            <w:r w:rsidRPr="00AD59CD">
              <w:rPr>
                <w:rFonts w:cs="Times New Roman"/>
              </w:rPr>
              <w:t>11</w:t>
            </w:r>
          </w:p>
        </w:tc>
        <w:tc>
          <w:tcPr>
            <w:tcW w:w="2019" w:type="dxa"/>
            <w:vAlign w:val="center"/>
          </w:tcPr>
          <w:p w14:paraId="0D0B8645" w14:textId="77777777" w:rsidR="00AD59CD" w:rsidRPr="00AD59CD" w:rsidRDefault="00AD59CD" w:rsidP="0024040C">
            <w:pPr>
              <w:pStyle w:val="Standard"/>
              <w:spacing w:before="57" w:after="57" w:line="360" w:lineRule="auto"/>
              <w:jc w:val="center"/>
              <w:rPr>
                <w:rFonts w:cs="Times New Roman"/>
              </w:rPr>
            </w:pPr>
            <w:r w:rsidRPr="00AD59CD">
              <w:rPr>
                <w:rFonts w:cs="Times New Roman"/>
                <w:i/>
                <w:iCs/>
              </w:rPr>
              <w:t>Tableau</w:t>
            </w:r>
            <w:r w:rsidRPr="00AD59CD">
              <w:rPr>
                <w:rFonts w:cs="Times New Roman"/>
              </w:rPr>
              <w:t xml:space="preserve"> </w:t>
            </w:r>
            <w:r w:rsidRPr="00AD59CD">
              <w:rPr>
                <w:rFonts w:cs="Times New Roman"/>
                <w:i/>
                <w:iCs/>
              </w:rPr>
              <w:t>Desktop</w:t>
            </w:r>
            <w:r w:rsidRPr="00AD59CD">
              <w:rPr>
                <w:rFonts w:cs="Times New Roman"/>
              </w:rPr>
              <w:t xml:space="preserve"> </w:t>
            </w:r>
            <w:r w:rsidRPr="00AD59CD">
              <w:rPr>
                <w:rFonts w:cs="Times New Roman"/>
                <w:i/>
                <w:iCs/>
              </w:rPr>
              <w:t>Professional</w:t>
            </w:r>
          </w:p>
        </w:tc>
        <w:tc>
          <w:tcPr>
            <w:tcW w:w="2489" w:type="dxa"/>
            <w:vAlign w:val="center"/>
          </w:tcPr>
          <w:p w14:paraId="0E2AB7B9" w14:textId="77777777" w:rsidR="00AD59CD" w:rsidRPr="00AD59CD" w:rsidRDefault="00AD59CD" w:rsidP="0024040C">
            <w:pPr>
              <w:pStyle w:val="Standard"/>
              <w:spacing w:before="57" w:after="57" w:line="360" w:lineRule="auto"/>
              <w:jc w:val="center"/>
              <w:rPr>
                <w:rFonts w:cs="Times New Roman"/>
              </w:rPr>
            </w:pPr>
            <w:r w:rsidRPr="00AD59CD">
              <w:rPr>
                <w:rFonts w:cs="Times New Roman"/>
              </w:rPr>
              <w:t>11</w:t>
            </w:r>
            <w:r w:rsidRPr="00AD59CD">
              <w:rPr>
                <w:rFonts w:cs="Times New Roman"/>
                <w:vertAlign w:val="superscript"/>
              </w:rPr>
              <w:t>(a)</w:t>
            </w:r>
          </w:p>
        </w:tc>
        <w:tc>
          <w:tcPr>
            <w:tcW w:w="2155" w:type="dxa"/>
            <w:vAlign w:val="center"/>
          </w:tcPr>
          <w:p w14:paraId="17D6DF98" w14:textId="77777777" w:rsidR="00AD59CD" w:rsidRPr="00AD59CD" w:rsidRDefault="00AD59CD" w:rsidP="0024040C">
            <w:pPr>
              <w:pStyle w:val="Standard"/>
              <w:spacing w:before="57" w:after="57" w:line="360" w:lineRule="auto"/>
              <w:jc w:val="center"/>
              <w:rPr>
                <w:rFonts w:cs="Times New Roman"/>
                <w:i/>
                <w:iCs/>
              </w:rPr>
            </w:pPr>
            <w:r w:rsidRPr="00AD59CD">
              <w:rPr>
                <w:rFonts w:cs="Times New Roman"/>
                <w:i/>
                <w:iCs/>
              </w:rPr>
              <w:t xml:space="preserve">Tableau </w:t>
            </w:r>
            <w:proofErr w:type="spellStart"/>
            <w:r w:rsidRPr="00AD59CD">
              <w:rPr>
                <w:rFonts w:cs="Times New Roman"/>
                <w:i/>
                <w:iCs/>
              </w:rPr>
              <w:t>Creator</w:t>
            </w:r>
            <w:proofErr w:type="spellEnd"/>
          </w:p>
        </w:tc>
      </w:tr>
      <w:tr w:rsidR="00AD59CD" w:rsidRPr="00AD59CD" w14:paraId="013AA79B" w14:textId="77777777" w:rsidTr="0024040C">
        <w:tc>
          <w:tcPr>
            <w:tcW w:w="2263" w:type="dxa"/>
            <w:vMerge w:val="restart"/>
            <w:vAlign w:val="center"/>
          </w:tcPr>
          <w:p w14:paraId="7778FC15" w14:textId="77777777" w:rsidR="00AD59CD" w:rsidRPr="00AD59CD" w:rsidRDefault="00AD59CD" w:rsidP="0024040C">
            <w:pPr>
              <w:pStyle w:val="Standard"/>
              <w:spacing w:before="57" w:after="57" w:line="360" w:lineRule="auto"/>
              <w:jc w:val="center"/>
              <w:rPr>
                <w:rFonts w:cs="Times New Roman"/>
              </w:rPr>
            </w:pPr>
            <w:r w:rsidRPr="00AD59CD">
              <w:rPr>
                <w:rFonts w:cs="Times New Roman"/>
              </w:rPr>
              <w:t>86</w:t>
            </w:r>
          </w:p>
        </w:tc>
        <w:tc>
          <w:tcPr>
            <w:tcW w:w="2019" w:type="dxa"/>
            <w:vMerge w:val="restart"/>
            <w:vAlign w:val="center"/>
          </w:tcPr>
          <w:p w14:paraId="776BA41E" w14:textId="77777777" w:rsidR="00AD59CD" w:rsidRPr="00AD59CD" w:rsidRDefault="00AD59CD" w:rsidP="0024040C">
            <w:pPr>
              <w:pStyle w:val="Standard"/>
              <w:jc w:val="center"/>
              <w:rPr>
                <w:rFonts w:cs="Times New Roman"/>
              </w:rPr>
            </w:pPr>
            <w:r w:rsidRPr="00AD59CD">
              <w:rPr>
                <w:rFonts w:cs="Times New Roman"/>
                <w:i/>
                <w:iCs/>
              </w:rPr>
              <w:t>Tableau</w:t>
            </w:r>
            <w:r w:rsidRPr="00AD59CD">
              <w:rPr>
                <w:rFonts w:cs="Times New Roman"/>
              </w:rPr>
              <w:t xml:space="preserve"> </w:t>
            </w:r>
            <w:proofErr w:type="spellStart"/>
            <w:r w:rsidRPr="00AD59CD">
              <w:rPr>
                <w:rFonts w:cs="Times New Roman"/>
                <w:i/>
                <w:iCs/>
              </w:rPr>
              <w:t>Interactor</w:t>
            </w:r>
            <w:proofErr w:type="spellEnd"/>
          </w:p>
        </w:tc>
        <w:tc>
          <w:tcPr>
            <w:tcW w:w="2489" w:type="dxa"/>
            <w:vAlign w:val="center"/>
          </w:tcPr>
          <w:p w14:paraId="778401B7" w14:textId="77777777" w:rsidR="00AD59CD" w:rsidRPr="00AD59CD" w:rsidRDefault="00AD59CD" w:rsidP="0024040C">
            <w:pPr>
              <w:pStyle w:val="Standard"/>
              <w:spacing w:before="57" w:after="57" w:line="360" w:lineRule="auto"/>
              <w:jc w:val="center"/>
              <w:rPr>
                <w:rFonts w:cs="Times New Roman"/>
              </w:rPr>
            </w:pPr>
            <w:r w:rsidRPr="00AD59CD">
              <w:rPr>
                <w:rFonts w:cs="Times New Roman"/>
              </w:rPr>
              <w:t>21</w:t>
            </w:r>
            <w:r w:rsidRPr="00AD59CD">
              <w:rPr>
                <w:rFonts w:cs="Times New Roman"/>
                <w:vertAlign w:val="superscript"/>
              </w:rPr>
              <w:t>(b)</w:t>
            </w:r>
          </w:p>
        </w:tc>
        <w:tc>
          <w:tcPr>
            <w:tcW w:w="2155" w:type="dxa"/>
            <w:vAlign w:val="center"/>
          </w:tcPr>
          <w:p w14:paraId="1E42BC33" w14:textId="77777777" w:rsidR="00AD59CD" w:rsidRPr="00AD59CD" w:rsidRDefault="00AD59CD" w:rsidP="0024040C">
            <w:pPr>
              <w:pStyle w:val="Standard"/>
              <w:spacing w:before="57" w:after="57" w:line="360" w:lineRule="auto"/>
              <w:jc w:val="center"/>
              <w:rPr>
                <w:rFonts w:cs="Times New Roman"/>
                <w:i/>
                <w:iCs/>
              </w:rPr>
            </w:pPr>
            <w:r w:rsidRPr="00AD59CD">
              <w:rPr>
                <w:rFonts w:cs="Times New Roman"/>
                <w:i/>
                <w:iCs/>
              </w:rPr>
              <w:t xml:space="preserve">Tableau </w:t>
            </w:r>
            <w:proofErr w:type="spellStart"/>
            <w:r w:rsidRPr="00AD59CD">
              <w:rPr>
                <w:rFonts w:cs="Times New Roman"/>
                <w:i/>
                <w:iCs/>
              </w:rPr>
              <w:t>Creator</w:t>
            </w:r>
            <w:proofErr w:type="spellEnd"/>
          </w:p>
        </w:tc>
      </w:tr>
      <w:tr w:rsidR="00AD59CD" w:rsidRPr="00AD59CD" w14:paraId="46065AB6" w14:textId="77777777" w:rsidTr="0024040C">
        <w:tc>
          <w:tcPr>
            <w:tcW w:w="2263" w:type="dxa"/>
            <w:vMerge/>
            <w:vAlign w:val="center"/>
          </w:tcPr>
          <w:p w14:paraId="423C85D4" w14:textId="77777777" w:rsidR="00AD59CD" w:rsidRPr="00AD59CD" w:rsidRDefault="00AD59CD" w:rsidP="0024040C">
            <w:pPr>
              <w:pStyle w:val="Standard"/>
              <w:spacing w:before="57" w:after="57" w:line="360" w:lineRule="auto"/>
              <w:jc w:val="both"/>
              <w:rPr>
                <w:rFonts w:cs="Times New Roman"/>
              </w:rPr>
            </w:pPr>
          </w:p>
        </w:tc>
        <w:tc>
          <w:tcPr>
            <w:tcW w:w="2019" w:type="dxa"/>
            <w:vMerge/>
            <w:vAlign w:val="center"/>
          </w:tcPr>
          <w:p w14:paraId="26E6E96A" w14:textId="77777777" w:rsidR="00AD59CD" w:rsidRPr="00AD59CD" w:rsidRDefault="00AD59CD" w:rsidP="0024040C">
            <w:pPr>
              <w:pStyle w:val="Standard"/>
              <w:spacing w:before="57" w:after="57" w:line="360" w:lineRule="auto"/>
              <w:jc w:val="both"/>
              <w:rPr>
                <w:rFonts w:cs="Times New Roman"/>
              </w:rPr>
            </w:pPr>
          </w:p>
        </w:tc>
        <w:tc>
          <w:tcPr>
            <w:tcW w:w="2489" w:type="dxa"/>
            <w:vAlign w:val="center"/>
          </w:tcPr>
          <w:p w14:paraId="03954CD2" w14:textId="77777777" w:rsidR="00AD59CD" w:rsidRPr="00AD59CD" w:rsidRDefault="00AD59CD" w:rsidP="0024040C">
            <w:pPr>
              <w:pStyle w:val="Standard"/>
              <w:spacing w:before="57" w:after="57" w:line="360" w:lineRule="auto"/>
              <w:jc w:val="center"/>
              <w:rPr>
                <w:rFonts w:cs="Times New Roman"/>
              </w:rPr>
            </w:pPr>
            <w:r w:rsidRPr="00AD59CD">
              <w:rPr>
                <w:rFonts w:cs="Times New Roman"/>
              </w:rPr>
              <w:t>88</w:t>
            </w:r>
            <w:r w:rsidRPr="00AD59CD">
              <w:rPr>
                <w:rFonts w:cs="Times New Roman"/>
                <w:vertAlign w:val="superscript"/>
              </w:rPr>
              <w:t>(c)</w:t>
            </w:r>
          </w:p>
        </w:tc>
        <w:tc>
          <w:tcPr>
            <w:tcW w:w="2155" w:type="dxa"/>
            <w:vAlign w:val="center"/>
          </w:tcPr>
          <w:p w14:paraId="11B0C871" w14:textId="77777777" w:rsidR="00AD59CD" w:rsidRPr="00AD59CD" w:rsidRDefault="00AD59CD" w:rsidP="0024040C">
            <w:pPr>
              <w:pStyle w:val="Standard"/>
              <w:spacing w:before="57" w:after="57" w:line="360" w:lineRule="auto"/>
              <w:jc w:val="center"/>
              <w:rPr>
                <w:rFonts w:cs="Times New Roman"/>
                <w:i/>
                <w:iCs/>
              </w:rPr>
            </w:pPr>
            <w:r w:rsidRPr="00AD59CD">
              <w:rPr>
                <w:rFonts w:cs="Times New Roman"/>
                <w:i/>
                <w:iCs/>
              </w:rPr>
              <w:t xml:space="preserve">Tableau </w:t>
            </w:r>
            <w:proofErr w:type="spellStart"/>
            <w:r w:rsidRPr="00AD59CD">
              <w:rPr>
                <w:rFonts w:cs="Times New Roman"/>
                <w:i/>
                <w:iCs/>
              </w:rPr>
              <w:t>Viewer</w:t>
            </w:r>
            <w:proofErr w:type="spellEnd"/>
          </w:p>
        </w:tc>
      </w:tr>
      <w:tr w:rsidR="00AD59CD" w:rsidRPr="00AD59CD" w14:paraId="278C0F7D" w14:textId="77777777" w:rsidTr="0024040C">
        <w:tc>
          <w:tcPr>
            <w:tcW w:w="8926" w:type="dxa"/>
            <w:gridSpan w:val="4"/>
            <w:vAlign w:val="center"/>
          </w:tcPr>
          <w:p w14:paraId="7CD2D2C7" w14:textId="77777777" w:rsidR="00AD59CD" w:rsidRPr="00AD59CD" w:rsidRDefault="00AD59CD" w:rsidP="00A16FF6">
            <w:pPr>
              <w:pStyle w:val="Standard"/>
              <w:numPr>
                <w:ilvl w:val="0"/>
                <w:numId w:val="32"/>
              </w:numPr>
              <w:spacing w:before="57" w:after="57" w:line="360" w:lineRule="auto"/>
              <w:rPr>
                <w:rFonts w:cs="Times New Roman"/>
              </w:rPr>
            </w:pPr>
            <w:r w:rsidRPr="00AD59CD">
              <w:rPr>
                <w:rFonts w:cs="Times New Roman"/>
              </w:rPr>
              <w:t xml:space="preserve">11 subscrições </w:t>
            </w:r>
            <w:proofErr w:type="spellStart"/>
            <w:r w:rsidRPr="00AD59CD">
              <w:rPr>
                <w:rFonts w:cs="Times New Roman"/>
                <w:i/>
                <w:iCs/>
              </w:rPr>
              <w:t>Creators</w:t>
            </w:r>
            <w:proofErr w:type="spellEnd"/>
            <w:r w:rsidRPr="00AD59CD">
              <w:rPr>
                <w:rFonts w:cs="Times New Roman"/>
              </w:rPr>
              <w:t xml:space="preserve"> convertidas a partir de 11 licenças </w:t>
            </w:r>
            <w:r w:rsidRPr="00AD59CD">
              <w:rPr>
                <w:rFonts w:cs="Times New Roman"/>
                <w:i/>
                <w:iCs/>
              </w:rPr>
              <w:t>Tableau Desktop</w:t>
            </w:r>
            <w:r w:rsidRPr="00AD59CD">
              <w:rPr>
                <w:rFonts w:cs="Times New Roman"/>
              </w:rPr>
              <w:t xml:space="preserve"> na proporção de um para um;</w:t>
            </w:r>
          </w:p>
          <w:p w14:paraId="3EED1441" w14:textId="77777777" w:rsidR="00AD59CD" w:rsidRPr="00AD59CD" w:rsidRDefault="00AD59CD" w:rsidP="00A16FF6">
            <w:pPr>
              <w:pStyle w:val="Standard"/>
              <w:numPr>
                <w:ilvl w:val="0"/>
                <w:numId w:val="32"/>
              </w:numPr>
              <w:spacing w:before="57" w:after="57" w:line="360" w:lineRule="auto"/>
              <w:rPr>
                <w:rFonts w:cs="Times New Roman"/>
              </w:rPr>
            </w:pPr>
            <w:r w:rsidRPr="00AD59CD">
              <w:rPr>
                <w:rFonts w:cs="Times New Roman"/>
              </w:rPr>
              <w:t xml:space="preserve">21 subscrições </w:t>
            </w:r>
            <w:proofErr w:type="spellStart"/>
            <w:r w:rsidRPr="00AD59CD">
              <w:rPr>
                <w:rFonts w:cs="Times New Roman"/>
                <w:i/>
                <w:iCs/>
              </w:rPr>
              <w:t>Creators</w:t>
            </w:r>
            <w:proofErr w:type="spellEnd"/>
            <w:r w:rsidRPr="00AD59CD">
              <w:rPr>
                <w:rFonts w:cs="Times New Roman"/>
              </w:rPr>
              <w:t xml:space="preserve"> convertidas a partir de 42 licenças </w:t>
            </w:r>
            <w:proofErr w:type="spellStart"/>
            <w:r w:rsidRPr="00AD59CD">
              <w:rPr>
                <w:rFonts w:cs="Times New Roman"/>
                <w:i/>
                <w:iCs/>
              </w:rPr>
              <w:t>Interactors</w:t>
            </w:r>
            <w:proofErr w:type="spellEnd"/>
            <w:r w:rsidRPr="00AD59CD">
              <w:rPr>
                <w:rFonts w:cs="Times New Roman"/>
              </w:rPr>
              <w:t xml:space="preserve"> na proporção de dois para um;</w:t>
            </w:r>
          </w:p>
          <w:p w14:paraId="282ED41C" w14:textId="77777777" w:rsidR="00AD59CD" w:rsidRPr="00AD59CD" w:rsidRDefault="00AD59CD" w:rsidP="00A16FF6">
            <w:pPr>
              <w:pStyle w:val="Standard"/>
              <w:numPr>
                <w:ilvl w:val="0"/>
                <w:numId w:val="32"/>
              </w:numPr>
              <w:spacing w:before="57" w:after="57" w:line="360" w:lineRule="auto"/>
              <w:rPr>
                <w:rFonts w:cs="Times New Roman"/>
              </w:rPr>
            </w:pPr>
            <w:r w:rsidRPr="00AD59CD">
              <w:rPr>
                <w:rFonts w:cs="Times New Roman"/>
              </w:rPr>
              <w:t xml:space="preserve">88 subscrições </w:t>
            </w:r>
            <w:proofErr w:type="spellStart"/>
            <w:r w:rsidRPr="00AD59CD">
              <w:rPr>
                <w:rFonts w:cs="Times New Roman"/>
                <w:i/>
                <w:iCs/>
              </w:rPr>
              <w:t>Viewers</w:t>
            </w:r>
            <w:proofErr w:type="spellEnd"/>
            <w:r w:rsidRPr="00AD59CD">
              <w:rPr>
                <w:rFonts w:cs="Times New Roman"/>
              </w:rPr>
              <w:t xml:space="preserve"> convertidas a partir de 44 licenças </w:t>
            </w:r>
            <w:proofErr w:type="spellStart"/>
            <w:r w:rsidRPr="00AD59CD">
              <w:rPr>
                <w:rFonts w:cs="Times New Roman"/>
                <w:i/>
                <w:iCs/>
              </w:rPr>
              <w:t>Interactors</w:t>
            </w:r>
            <w:proofErr w:type="spellEnd"/>
            <w:r w:rsidRPr="00AD59CD">
              <w:rPr>
                <w:rFonts w:cs="Times New Roman"/>
              </w:rPr>
              <w:t xml:space="preserve"> na proporção de um para dois.</w:t>
            </w:r>
          </w:p>
        </w:tc>
      </w:tr>
    </w:tbl>
    <w:p w14:paraId="433AF5AB"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 xml:space="preserve"> A empresa parceira deve conceder desconto relativo à migração das licenças perpétuas para o regime de subscrição, patrocinado pela fabricante como forma de incentivo à transição dos regimes de comercialização de licenças da solução.</w:t>
      </w:r>
    </w:p>
    <w:p w14:paraId="47EF70FF" w14:textId="77777777" w:rsidR="00AD59CD" w:rsidRPr="00AD59CD" w:rsidRDefault="00AD59CD" w:rsidP="00AD59CD">
      <w:pPr>
        <w:pStyle w:val="Standard"/>
        <w:spacing w:before="57" w:after="57" w:line="360" w:lineRule="auto"/>
        <w:jc w:val="both"/>
        <w:rPr>
          <w:rFonts w:cs="Times New Roman"/>
          <w:b/>
          <w:bCs/>
          <w:sz w:val="24"/>
          <w:szCs w:val="24"/>
        </w:rPr>
      </w:pPr>
    </w:p>
    <w:p w14:paraId="47CEB23D" w14:textId="77777777" w:rsidR="00AD59CD" w:rsidRPr="00AD59CD" w:rsidRDefault="00AD59CD" w:rsidP="00A16FF6">
      <w:pPr>
        <w:pStyle w:val="Standard"/>
        <w:widowControl w:val="0"/>
        <w:numPr>
          <w:ilvl w:val="0"/>
          <w:numId w:val="31"/>
        </w:numPr>
        <w:autoSpaceDN w:val="0"/>
        <w:spacing w:before="57" w:after="57" w:line="360" w:lineRule="auto"/>
        <w:jc w:val="both"/>
        <w:rPr>
          <w:rFonts w:cs="Times New Roman"/>
          <w:b/>
          <w:bCs/>
          <w:sz w:val="24"/>
          <w:szCs w:val="24"/>
        </w:rPr>
      </w:pPr>
      <w:r w:rsidRPr="00AD59CD">
        <w:rPr>
          <w:rFonts w:cs="Times New Roman"/>
          <w:b/>
          <w:bCs/>
          <w:sz w:val="24"/>
          <w:szCs w:val="24"/>
        </w:rPr>
        <w:t>JUSTIFICATIVA</w:t>
      </w:r>
    </w:p>
    <w:p w14:paraId="5F98B290"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 xml:space="preserve">Em 2014, o Conselho Nacional do Ministério Público – CNMP – iniciou os trabalhos com </w:t>
      </w:r>
      <w:r w:rsidRPr="00AD59CD">
        <w:rPr>
          <w:rFonts w:cs="Times New Roman"/>
          <w:i/>
          <w:iCs/>
          <w:sz w:val="24"/>
          <w:szCs w:val="24"/>
        </w:rPr>
        <w:t xml:space="preserve">Business </w:t>
      </w:r>
      <w:proofErr w:type="spellStart"/>
      <w:r w:rsidRPr="00AD59CD">
        <w:rPr>
          <w:rFonts w:cs="Times New Roman"/>
          <w:i/>
          <w:iCs/>
          <w:sz w:val="24"/>
          <w:szCs w:val="24"/>
        </w:rPr>
        <w:t>Intelligence</w:t>
      </w:r>
      <w:proofErr w:type="spellEnd"/>
      <w:r w:rsidRPr="00AD59CD">
        <w:rPr>
          <w:rFonts w:cs="Times New Roman"/>
          <w:sz w:val="24"/>
          <w:szCs w:val="24"/>
        </w:rPr>
        <w:t xml:space="preserve"> – BI –, utilizando uma ferramenta hoje classificada como solução de BI tradicional; </w:t>
      </w:r>
    </w:p>
    <w:p w14:paraId="00072771"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 xml:space="preserve">Nessa classe de solução, em síntese, foi adotada a seguinte cadeia de procedimentos:  </w:t>
      </w:r>
    </w:p>
    <w:p w14:paraId="2D80C775"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 xml:space="preserve">Criar uma estrutura paralela de tabelas para abrigar dados oriundos dos sistemas transacionais; </w:t>
      </w:r>
    </w:p>
    <w:p w14:paraId="4070B031"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 xml:space="preserve">Criar uma detalhada camada de mapeamento de dados, capaz de habilitar a comunicação entre os relatórios e as tabelas; </w:t>
      </w:r>
    </w:p>
    <w:p w14:paraId="3E24235D"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 xml:space="preserve">Criar relatórios sintéticos com capacidade de filtros de dados; </w:t>
      </w:r>
    </w:p>
    <w:p w14:paraId="0B6D7F47"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 xml:space="preserve">Criar relatórios detalhados, invocados a partir dos relatórios sintéticos, capazes de exibir a informação em seu menor nível de detalhe;  </w:t>
      </w:r>
    </w:p>
    <w:p w14:paraId="02B88E21"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 xml:space="preserve">A despeito da aparente simplicidade dos passos transcritos, as minúcias técnicas da ferramenta mostraram-se significativamente não triviais nem intuitivas, tornando – inclusive - inviável o uso da solução fora da TI, como antes delineado; </w:t>
      </w:r>
    </w:p>
    <w:p w14:paraId="7D313877"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 xml:space="preserve">Além da questão produtiva, a ferramenta apresentou qualidade gráfica obsoleta, quando </w:t>
      </w:r>
      <w:r w:rsidRPr="00AD59CD">
        <w:rPr>
          <w:rFonts w:cs="Times New Roman"/>
          <w:sz w:val="24"/>
          <w:szCs w:val="24"/>
        </w:rPr>
        <w:lastRenderedPageBreak/>
        <w:t>comparada a soluções de mercado contemporâneas. Dentre outros, há reduzido número de representações gráficas passíveis de contribuição efetiva, utilização de conceitos ultrapassados (e.g. gráficos 3d) e dificuldade de construção de um modelo assertivo de comunicação visual;</w:t>
      </w:r>
    </w:p>
    <w:p w14:paraId="64501B13"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Existia, portanto, uma defasada cadeia de produção de relatórios, sendo estes pouco atrativos e burocráticos no sentido de apenas descreverem “o que aconteceu. Mais. A TI, com seu reduzido quadro de pessoal, continuava centralizando a produção e a difusão das informações e, assim, causando gargalos no consumo dos ativos informacionais.</w:t>
      </w:r>
    </w:p>
    <w:p w14:paraId="702BA3C2"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 xml:space="preserve">Posto isso, em 2017 o CNMP realizou um novo certame para a aquisição de uma nova ferramenta que agregasse novas funcionalidade e corrigisse os defeitos e dificuldades encontradas na ferramenta anterior. A equipe técnica criou uma especificação que abrangesse as melhores e mais utilizadas soluções de BI de forma que o Conselho pudesse ter uma ferramenta adequada e com o melhor custo-benefício.  </w:t>
      </w:r>
    </w:p>
    <w:p w14:paraId="55362CFB" w14:textId="77777777" w:rsidR="00AD59CD" w:rsidRPr="00AD59CD" w:rsidRDefault="00AD59CD" w:rsidP="00A16FF6">
      <w:pPr>
        <w:pStyle w:val="Standard"/>
        <w:widowControl w:val="0"/>
        <w:numPr>
          <w:ilvl w:val="1"/>
          <w:numId w:val="31"/>
        </w:numPr>
        <w:autoSpaceDN w:val="0"/>
        <w:spacing w:before="57" w:after="57" w:line="360" w:lineRule="auto"/>
        <w:ind w:left="788" w:hanging="431"/>
        <w:jc w:val="both"/>
        <w:rPr>
          <w:rFonts w:cs="Times New Roman"/>
          <w:sz w:val="24"/>
          <w:szCs w:val="24"/>
        </w:rPr>
      </w:pPr>
      <w:r w:rsidRPr="00AD59CD">
        <w:rPr>
          <w:rFonts w:cs="Times New Roman"/>
          <w:sz w:val="24"/>
          <w:szCs w:val="24"/>
        </w:rPr>
        <w:t xml:space="preserve">Nessa contratação adquiriu-se a solução da empresa Tableau – solução com o mesmo nome – que se mostrou extremamente eficiente para as equipes que utilizam realizarem entregas de </w:t>
      </w:r>
      <w:r w:rsidRPr="00AD59CD">
        <w:rPr>
          <w:rFonts w:cs="Times New Roman"/>
          <w:i/>
          <w:iCs/>
          <w:sz w:val="24"/>
          <w:szCs w:val="24"/>
        </w:rPr>
        <w:t>dashboards</w:t>
      </w:r>
      <w:r w:rsidRPr="00AD59CD">
        <w:rPr>
          <w:rFonts w:cs="Times New Roman"/>
          <w:sz w:val="24"/>
          <w:szCs w:val="24"/>
        </w:rPr>
        <w:t xml:space="preserve">, relatórios, </w:t>
      </w:r>
      <w:proofErr w:type="spellStart"/>
      <w:r w:rsidRPr="00AD59CD">
        <w:rPr>
          <w:rFonts w:cs="Times New Roman"/>
          <w:i/>
          <w:iCs/>
          <w:sz w:val="24"/>
          <w:szCs w:val="24"/>
        </w:rPr>
        <w:t>storytellings</w:t>
      </w:r>
      <w:proofErr w:type="spellEnd"/>
      <w:r w:rsidRPr="00AD59CD">
        <w:rPr>
          <w:rFonts w:cs="Times New Roman"/>
          <w:sz w:val="24"/>
          <w:szCs w:val="24"/>
        </w:rPr>
        <w:t xml:space="preserve"> e demais produtos para a tomada de decisões, acompanhamento e </w:t>
      </w:r>
      <w:r w:rsidRPr="00AD59CD">
        <w:rPr>
          <w:rFonts w:cs="Times New Roman"/>
          <w:i/>
          <w:iCs/>
          <w:sz w:val="24"/>
          <w:szCs w:val="24"/>
        </w:rPr>
        <w:t>insights</w:t>
      </w:r>
      <w:r w:rsidRPr="00AD59CD">
        <w:rPr>
          <w:rFonts w:cs="Times New Roman"/>
          <w:sz w:val="24"/>
          <w:szCs w:val="24"/>
        </w:rPr>
        <w:t xml:space="preserve"> que a ferramenta possa proporcionar.</w:t>
      </w:r>
    </w:p>
    <w:p w14:paraId="1A687B6B" w14:textId="77777777" w:rsidR="00AD59CD" w:rsidRPr="00AD59CD" w:rsidRDefault="00AD59CD" w:rsidP="00A16FF6">
      <w:pPr>
        <w:pStyle w:val="Standard"/>
        <w:widowControl w:val="0"/>
        <w:numPr>
          <w:ilvl w:val="1"/>
          <w:numId w:val="31"/>
        </w:numPr>
        <w:autoSpaceDN w:val="0"/>
        <w:spacing w:before="57" w:after="57" w:line="360" w:lineRule="auto"/>
        <w:ind w:left="788" w:hanging="431"/>
        <w:jc w:val="both"/>
        <w:rPr>
          <w:rFonts w:cs="Times New Roman"/>
          <w:sz w:val="24"/>
          <w:szCs w:val="24"/>
        </w:rPr>
      </w:pPr>
      <w:r w:rsidRPr="00AD59CD">
        <w:rPr>
          <w:rFonts w:cs="Times New Roman"/>
          <w:sz w:val="24"/>
          <w:szCs w:val="24"/>
        </w:rPr>
        <w:t>Atualmente a solução hospeda 74 fontes de dados e 1.274 visualizações. Essas fontes de dados são informações extraídas, compiladas e tratadas a partir dos sistemas de informação do Conselho e colocadas à disposição das unidades de negócio para a produção das visualizações (“</w:t>
      </w:r>
      <w:r w:rsidRPr="00AD59CD">
        <w:rPr>
          <w:rFonts w:cs="Times New Roman"/>
          <w:i/>
          <w:iCs/>
          <w:sz w:val="24"/>
          <w:szCs w:val="24"/>
        </w:rPr>
        <w:t>dashboards</w:t>
      </w:r>
      <w:r w:rsidRPr="00AD59CD">
        <w:rPr>
          <w:rFonts w:cs="Times New Roman"/>
          <w:sz w:val="24"/>
          <w:szCs w:val="24"/>
        </w:rPr>
        <w:t>”, “relatórios tabulares”, dentre outros). Nos quais, podemos citar visualizações que envolvem temas processuais, orçamentários e de recursos humanos. Além disso, há o tratamento de dados de inúmeras resoluções do CNMP. Essas visualizações são utilizadas para análise e tomada de decisão de diversos setores do Conselho.</w:t>
      </w:r>
    </w:p>
    <w:p w14:paraId="3553705E" w14:textId="77777777" w:rsidR="00AD59CD" w:rsidRPr="00AD59CD" w:rsidRDefault="00AD59CD" w:rsidP="00A16FF6">
      <w:pPr>
        <w:pStyle w:val="Standard"/>
        <w:widowControl w:val="0"/>
        <w:numPr>
          <w:ilvl w:val="1"/>
          <w:numId w:val="31"/>
        </w:numPr>
        <w:autoSpaceDN w:val="0"/>
        <w:spacing w:before="57" w:after="57" w:line="360" w:lineRule="auto"/>
        <w:ind w:left="788" w:hanging="431"/>
        <w:jc w:val="both"/>
        <w:rPr>
          <w:rFonts w:cs="Times New Roman"/>
          <w:sz w:val="24"/>
          <w:szCs w:val="24"/>
        </w:rPr>
      </w:pPr>
      <w:r w:rsidRPr="00AD59CD">
        <w:rPr>
          <w:rFonts w:cs="Times New Roman"/>
          <w:sz w:val="24"/>
          <w:szCs w:val="24"/>
        </w:rPr>
        <w:t xml:space="preserve">Diante das utilizações da solução e da perspectiva de seu uso para alcançar diversos objetivos estratégicos do mapa estratégico do CNMP 2018 -2023 como: 02 – Promover a transparência ativa como instrumento de controle social, 03 – Aprimorar o controle e a fiscalização do Ministério Público, dentre outros objetivos. Verificou-se a necessidade de expandir a quantidade de licenças da solução para que mais setores do Conselho sejam capazes de </w:t>
      </w:r>
      <w:r w:rsidRPr="00AD59CD">
        <w:rPr>
          <w:rFonts w:cs="Times New Roman"/>
          <w:sz w:val="24"/>
          <w:szCs w:val="24"/>
        </w:rPr>
        <w:lastRenderedPageBreak/>
        <w:t>produzir, manipular e visualizar dados.</w:t>
      </w:r>
    </w:p>
    <w:p w14:paraId="5D0A9E56" w14:textId="77777777" w:rsidR="00AD59CD" w:rsidRPr="00AD59CD" w:rsidRDefault="00AD59CD" w:rsidP="00A16FF6">
      <w:pPr>
        <w:pStyle w:val="Standard"/>
        <w:widowControl w:val="0"/>
        <w:numPr>
          <w:ilvl w:val="1"/>
          <w:numId w:val="31"/>
        </w:numPr>
        <w:autoSpaceDN w:val="0"/>
        <w:spacing w:before="57" w:after="57" w:line="360" w:lineRule="auto"/>
        <w:ind w:left="788" w:hanging="431"/>
        <w:jc w:val="both"/>
        <w:rPr>
          <w:rFonts w:cs="Times New Roman"/>
          <w:sz w:val="24"/>
          <w:szCs w:val="24"/>
        </w:rPr>
      </w:pPr>
      <w:r w:rsidRPr="00AD59CD">
        <w:rPr>
          <w:rFonts w:cs="Times New Roman"/>
          <w:sz w:val="24"/>
          <w:szCs w:val="24"/>
        </w:rPr>
        <w:t>Por esses motivos, foi realizado uma pesquisa para aumentar o quantitativo de licenças e quais licenças deveriam ser adquiridas. Adicionalmente, verificou-se que a fabricante alterou o modelo de licenciamento, de licenças de caráter perpétuo para o modelo de assinatura de licenças (subscrição), que não imobiliza o ativo de software como no licenciamento perpétuo, mas confere agilidade para rápidos redimensionamentos e apresenta um custo inicial bem mais baixo do que o licenciamento perpétuo. Impende destacar que, neste momento, a fabricante concede desconto financeiro aos clientes como forma de incentivo à transição dos regimes de comercialização de licenças da solução;</w:t>
      </w:r>
    </w:p>
    <w:p w14:paraId="7B69416D" w14:textId="77777777" w:rsidR="00AD59CD" w:rsidRPr="00AD59CD" w:rsidRDefault="00AD59CD" w:rsidP="00A16FF6">
      <w:pPr>
        <w:pStyle w:val="Standard"/>
        <w:widowControl w:val="0"/>
        <w:numPr>
          <w:ilvl w:val="1"/>
          <w:numId w:val="31"/>
        </w:numPr>
        <w:autoSpaceDN w:val="0"/>
        <w:spacing w:before="57" w:after="57" w:line="360" w:lineRule="auto"/>
        <w:ind w:left="788" w:hanging="431"/>
        <w:jc w:val="both"/>
        <w:rPr>
          <w:rFonts w:cs="Times New Roman"/>
          <w:sz w:val="24"/>
          <w:szCs w:val="24"/>
        </w:rPr>
      </w:pPr>
      <w:r w:rsidRPr="00AD59CD">
        <w:rPr>
          <w:rFonts w:cs="Times New Roman"/>
          <w:sz w:val="24"/>
          <w:szCs w:val="24"/>
        </w:rPr>
        <w:t xml:space="preserve">Com esses dados, foi realizado uma análise dos possíveis cenários que o Conselho tinha disponível para essa situação e a sua necessidade de expansão das licenças da solução. Optou-se a partir da Análise dos Cenários disponíveis a substituição de 42 licenças </w:t>
      </w:r>
      <w:proofErr w:type="spellStart"/>
      <w:r w:rsidRPr="00AD59CD">
        <w:rPr>
          <w:rFonts w:cs="Times New Roman"/>
          <w:i/>
          <w:iCs/>
          <w:sz w:val="24"/>
          <w:szCs w:val="24"/>
        </w:rPr>
        <w:t>Interactor</w:t>
      </w:r>
      <w:proofErr w:type="spellEnd"/>
      <w:r w:rsidRPr="00AD59CD">
        <w:rPr>
          <w:rFonts w:cs="Times New Roman"/>
          <w:sz w:val="24"/>
          <w:szCs w:val="24"/>
        </w:rPr>
        <w:t xml:space="preserve"> por 21 subscrições do </w:t>
      </w:r>
      <w:r w:rsidRPr="00AD59CD">
        <w:rPr>
          <w:rFonts w:cs="Times New Roman"/>
          <w:i/>
          <w:iCs/>
          <w:sz w:val="24"/>
          <w:szCs w:val="24"/>
        </w:rPr>
        <w:t xml:space="preserve">Tableau </w:t>
      </w:r>
      <w:proofErr w:type="spellStart"/>
      <w:r w:rsidRPr="00AD59CD">
        <w:rPr>
          <w:rFonts w:cs="Times New Roman"/>
          <w:i/>
          <w:iCs/>
          <w:sz w:val="24"/>
          <w:szCs w:val="24"/>
        </w:rPr>
        <w:t>Creator</w:t>
      </w:r>
      <w:proofErr w:type="spellEnd"/>
      <w:r w:rsidRPr="00AD59CD">
        <w:rPr>
          <w:rFonts w:cs="Times New Roman"/>
          <w:sz w:val="24"/>
          <w:szCs w:val="24"/>
        </w:rPr>
        <w:t xml:space="preserve">, a substituição de 44 licenças </w:t>
      </w:r>
      <w:proofErr w:type="spellStart"/>
      <w:r w:rsidRPr="00AD59CD">
        <w:rPr>
          <w:rFonts w:cs="Times New Roman"/>
          <w:i/>
          <w:iCs/>
          <w:sz w:val="24"/>
          <w:szCs w:val="24"/>
        </w:rPr>
        <w:t>Interactor</w:t>
      </w:r>
      <w:proofErr w:type="spellEnd"/>
      <w:r w:rsidRPr="00AD59CD">
        <w:rPr>
          <w:rFonts w:cs="Times New Roman"/>
          <w:sz w:val="24"/>
          <w:szCs w:val="24"/>
        </w:rPr>
        <w:t xml:space="preserve"> por 88 subscrições de </w:t>
      </w:r>
      <w:r w:rsidRPr="00AD59CD">
        <w:rPr>
          <w:rFonts w:cs="Times New Roman"/>
          <w:i/>
          <w:iCs/>
          <w:sz w:val="24"/>
          <w:szCs w:val="24"/>
        </w:rPr>
        <w:t xml:space="preserve">Tableau </w:t>
      </w:r>
      <w:proofErr w:type="spellStart"/>
      <w:r w:rsidRPr="00AD59CD">
        <w:rPr>
          <w:rFonts w:cs="Times New Roman"/>
          <w:i/>
          <w:iCs/>
          <w:sz w:val="24"/>
          <w:szCs w:val="24"/>
        </w:rPr>
        <w:t>Viewer</w:t>
      </w:r>
      <w:proofErr w:type="spellEnd"/>
      <w:r w:rsidRPr="00AD59CD">
        <w:rPr>
          <w:rFonts w:cs="Times New Roman"/>
          <w:sz w:val="24"/>
          <w:szCs w:val="24"/>
        </w:rPr>
        <w:t xml:space="preserve"> e, por fim, a substituição de 11 licenças </w:t>
      </w:r>
      <w:r w:rsidRPr="00AD59CD">
        <w:rPr>
          <w:rFonts w:cs="Times New Roman"/>
          <w:i/>
          <w:iCs/>
          <w:sz w:val="24"/>
          <w:szCs w:val="24"/>
        </w:rPr>
        <w:t>Tableau Desktop</w:t>
      </w:r>
      <w:r w:rsidRPr="00AD59CD">
        <w:rPr>
          <w:rFonts w:cs="Times New Roman"/>
          <w:sz w:val="24"/>
          <w:szCs w:val="24"/>
        </w:rPr>
        <w:t xml:space="preserve"> por 11 </w:t>
      </w:r>
      <w:r w:rsidRPr="00AD59CD">
        <w:rPr>
          <w:rFonts w:cs="Times New Roman"/>
          <w:i/>
          <w:iCs/>
          <w:sz w:val="24"/>
          <w:szCs w:val="24"/>
        </w:rPr>
        <w:t xml:space="preserve">Tableau </w:t>
      </w:r>
      <w:proofErr w:type="spellStart"/>
      <w:r w:rsidRPr="00AD59CD">
        <w:rPr>
          <w:rFonts w:cs="Times New Roman"/>
          <w:i/>
          <w:iCs/>
          <w:sz w:val="24"/>
          <w:szCs w:val="24"/>
        </w:rPr>
        <w:t>Creator</w:t>
      </w:r>
      <w:proofErr w:type="spellEnd"/>
      <w:r w:rsidRPr="00AD59CD">
        <w:rPr>
          <w:rFonts w:cs="Times New Roman"/>
          <w:sz w:val="24"/>
          <w:szCs w:val="24"/>
        </w:rPr>
        <w:t xml:space="preserve">. </w:t>
      </w:r>
    </w:p>
    <w:p w14:paraId="0FFFD9ED" w14:textId="77777777" w:rsidR="00AD59CD" w:rsidRPr="00AD59CD" w:rsidRDefault="00AD59CD" w:rsidP="00A16FF6">
      <w:pPr>
        <w:pStyle w:val="Standard"/>
        <w:widowControl w:val="0"/>
        <w:numPr>
          <w:ilvl w:val="1"/>
          <w:numId w:val="31"/>
        </w:numPr>
        <w:autoSpaceDN w:val="0"/>
        <w:spacing w:before="57" w:after="57" w:line="360" w:lineRule="auto"/>
        <w:ind w:left="788" w:hanging="431"/>
        <w:jc w:val="both"/>
        <w:rPr>
          <w:rFonts w:cs="Times New Roman"/>
          <w:sz w:val="24"/>
          <w:szCs w:val="24"/>
        </w:rPr>
      </w:pPr>
      <w:r w:rsidRPr="00AD59CD">
        <w:rPr>
          <w:rFonts w:cs="Times New Roman"/>
          <w:sz w:val="24"/>
          <w:szCs w:val="24"/>
        </w:rPr>
        <w:t>Quanto ao quantitativo de subscrições nessa migração de contrato, foi realizado um levantamento observando todos os setores do Conselho que necessitam de acesso para o uso da solução e os dados desse levantamento estão inseridos na análise de viabilidade da contratação;</w:t>
      </w:r>
    </w:p>
    <w:p w14:paraId="65581F27" w14:textId="77777777" w:rsidR="00AD59CD" w:rsidRPr="00AD59CD" w:rsidRDefault="00AD59CD" w:rsidP="00A16FF6">
      <w:pPr>
        <w:pStyle w:val="Standard"/>
        <w:widowControl w:val="0"/>
        <w:numPr>
          <w:ilvl w:val="1"/>
          <w:numId w:val="31"/>
        </w:numPr>
        <w:autoSpaceDN w:val="0"/>
        <w:spacing w:before="57" w:after="57" w:line="360" w:lineRule="auto"/>
        <w:ind w:left="788" w:hanging="431"/>
        <w:jc w:val="both"/>
        <w:rPr>
          <w:rFonts w:cs="Times New Roman"/>
          <w:sz w:val="24"/>
          <w:szCs w:val="24"/>
        </w:rPr>
      </w:pPr>
      <w:r w:rsidRPr="00AD59CD">
        <w:rPr>
          <w:rFonts w:cs="Times New Roman"/>
          <w:sz w:val="24"/>
          <w:szCs w:val="24"/>
        </w:rPr>
        <w:t xml:space="preserve">Por fim, registra-se que os serviços a contratar possuem natureza continuada, pois visam atender à necessidade pública de forma permanente e contínua, por mais de um exercício financeiro, já que busca manter – sem interrupções - o serviço de </w:t>
      </w:r>
      <w:r w:rsidRPr="00AD59CD">
        <w:rPr>
          <w:rFonts w:cs="Times New Roman"/>
          <w:i/>
          <w:iCs/>
          <w:sz w:val="24"/>
          <w:szCs w:val="24"/>
        </w:rPr>
        <w:t xml:space="preserve">Business </w:t>
      </w:r>
      <w:proofErr w:type="spellStart"/>
      <w:r w:rsidRPr="00AD59CD">
        <w:rPr>
          <w:rFonts w:cs="Times New Roman"/>
          <w:i/>
          <w:iCs/>
          <w:sz w:val="24"/>
          <w:szCs w:val="24"/>
        </w:rPr>
        <w:t>Intelligence</w:t>
      </w:r>
      <w:proofErr w:type="spellEnd"/>
      <w:r w:rsidRPr="00AD59CD">
        <w:rPr>
          <w:rFonts w:cs="Times New Roman"/>
          <w:i/>
          <w:iCs/>
          <w:sz w:val="24"/>
          <w:szCs w:val="24"/>
        </w:rPr>
        <w:t xml:space="preserve"> </w:t>
      </w:r>
      <w:r w:rsidRPr="00AD59CD">
        <w:rPr>
          <w:rFonts w:cs="Times New Roman"/>
          <w:sz w:val="24"/>
          <w:szCs w:val="24"/>
        </w:rPr>
        <w:t>deste Conselho tecnicamente atualizado em relação às inovações de versões, bem como quanto à cobertura de falhas de segurança e correção de erros.</w:t>
      </w:r>
    </w:p>
    <w:p w14:paraId="00B01501" w14:textId="77777777" w:rsidR="00AD59CD" w:rsidRPr="00AD59CD" w:rsidRDefault="00AD59CD" w:rsidP="00AD59CD">
      <w:pPr>
        <w:pStyle w:val="Standard"/>
        <w:spacing w:before="57" w:after="57" w:line="360" w:lineRule="auto"/>
        <w:ind w:left="788"/>
        <w:jc w:val="both"/>
        <w:rPr>
          <w:rFonts w:cs="Times New Roman"/>
          <w:sz w:val="24"/>
          <w:szCs w:val="24"/>
        </w:rPr>
      </w:pPr>
    </w:p>
    <w:p w14:paraId="7E22882C" w14:textId="77777777" w:rsidR="00AD59CD" w:rsidRPr="00AD59CD" w:rsidRDefault="00AD59CD" w:rsidP="00A16FF6">
      <w:pPr>
        <w:pStyle w:val="Standard"/>
        <w:widowControl w:val="0"/>
        <w:numPr>
          <w:ilvl w:val="0"/>
          <w:numId w:val="31"/>
        </w:numPr>
        <w:autoSpaceDN w:val="0"/>
        <w:spacing w:before="57" w:after="57" w:line="360" w:lineRule="auto"/>
        <w:jc w:val="both"/>
        <w:rPr>
          <w:rFonts w:cs="Times New Roman"/>
          <w:b/>
          <w:bCs/>
          <w:sz w:val="24"/>
          <w:szCs w:val="24"/>
        </w:rPr>
      </w:pPr>
      <w:r w:rsidRPr="00AD59CD">
        <w:rPr>
          <w:rFonts w:cs="Times New Roman"/>
          <w:b/>
          <w:bCs/>
          <w:sz w:val="24"/>
          <w:szCs w:val="24"/>
        </w:rPr>
        <w:t>Justificativa do uso de Lote Único</w:t>
      </w:r>
    </w:p>
    <w:p w14:paraId="0DCF04C3" w14:textId="77777777" w:rsidR="00AD59CD" w:rsidRPr="00AD59CD" w:rsidRDefault="00AD59CD" w:rsidP="00AD59CD">
      <w:pPr>
        <w:pStyle w:val="Standard"/>
        <w:spacing w:before="57" w:after="57" w:line="360" w:lineRule="auto"/>
        <w:ind w:left="360"/>
        <w:jc w:val="both"/>
        <w:rPr>
          <w:rFonts w:cs="Times New Roman"/>
          <w:b/>
          <w:bCs/>
          <w:sz w:val="24"/>
          <w:szCs w:val="24"/>
        </w:rPr>
      </w:pPr>
    </w:p>
    <w:p w14:paraId="59F666C2"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 xml:space="preserve">A contratação em lote único - a ser adquirido de forma única, integral e imediata - trata da </w:t>
      </w:r>
      <w:r w:rsidRPr="00AD59CD">
        <w:rPr>
          <w:rFonts w:cs="Times New Roman"/>
          <w:sz w:val="24"/>
          <w:szCs w:val="24"/>
        </w:rPr>
        <w:lastRenderedPageBreak/>
        <w:t>substituição das licenças de caráter perpétuo por subscrições. Além disso, contempla o desconto financeiro fornecido pela fabricante como forma de estímulo à transição de regimes de licenças.</w:t>
      </w:r>
    </w:p>
    <w:p w14:paraId="5CD109F9"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O arranjo de itens do lote são inter-relacionados e compõem uma solução tecnicamente gerenciável, sendo que a não contratação de qualquer um dos itens causaria prejuízo ao serviço prestado, bem como, na utilização da solução. Permitir adjudicação dos itens do lote da licitação a diferentes empresas produz efeitos nocivos a execução contratual, nos termos delineados pelo Acórdão TCU 1946/2006 Plenário (Voto do Ministro Relator):</w:t>
      </w:r>
    </w:p>
    <w:p w14:paraId="5A788C11" w14:textId="77777777" w:rsidR="00AD59CD" w:rsidRPr="00AD59CD" w:rsidRDefault="00AD59CD" w:rsidP="00AD59CD">
      <w:pPr>
        <w:pStyle w:val="Standard"/>
        <w:spacing w:before="57" w:after="57" w:line="360" w:lineRule="auto"/>
        <w:ind w:left="360"/>
        <w:jc w:val="center"/>
        <w:rPr>
          <w:rFonts w:cs="Times New Roman"/>
          <w:i/>
          <w:iCs/>
          <w:sz w:val="24"/>
          <w:szCs w:val="24"/>
          <w:shd w:val="clear" w:color="auto" w:fill="FAF9F8"/>
        </w:rPr>
      </w:pPr>
      <w:r w:rsidRPr="00AD59CD">
        <w:rPr>
          <w:rFonts w:cs="Times New Roman"/>
          <w:i/>
          <w:iCs/>
          <w:sz w:val="24"/>
          <w:szCs w:val="24"/>
          <w:shd w:val="clear" w:color="auto" w:fill="FAF9F8"/>
        </w:rPr>
        <w:t>(...)</w:t>
      </w:r>
    </w:p>
    <w:p w14:paraId="5DA2569E" w14:textId="77777777" w:rsidR="00AD59CD" w:rsidRPr="00AD59CD" w:rsidRDefault="00AD59CD" w:rsidP="00AD59CD">
      <w:pPr>
        <w:pStyle w:val="Standard"/>
        <w:spacing w:before="57" w:after="57" w:line="360" w:lineRule="auto"/>
        <w:ind w:left="360"/>
        <w:jc w:val="center"/>
        <w:rPr>
          <w:rFonts w:cs="Times New Roman"/>
          <w:i/>
          <w:iCs/>
          <w:sz w:val="24"/>
          <w:szCs w:val="24"/>
          <w:shd w:val="clear" w:color="auto" w:fill="FAF9F8"/>
        </w:rPr>
      </w:pPr>
      <w:r w:rsidRPr="00AD59CD">
        <w:rPr>
          <w:rFonts w:cs="Times New Roman"/>
          <w:i/>
          <w:iCs/>
          <w:sz w:val="24"/>
          <w:szCs w:val="24"/>
          <w:shd w:val="clear" w:color="auto" w:fill="FAF9F8"/>
        </w:rPr>
        <w:t xml:space="preserve">"Por pertinente, trago à baila escólio de Marçal </w:t>
      </w:r>
      <w:proofErr w:type="spellStart"/>
      <w:r w:rsidRPr="00AD59CD">
        <w:rPr>
          <w:rFonts w:cs="Times New Roman"/>
          <w:i/>
          <w:iCs/>
          <w:sz w:val="24"/>
          <w:szCs w:val="24"/>
          <w:shd w:val="clear" w:color="auto" w:fill="FAF9F8"/>
        </w:rPr>
        <w:t>Justen</w:t>
      </w:r>
      <w:proofErr w:type="spellEnd"/>
      <w:r w:rsidRPr="00AD59CD">
        <w:rPr>
          <w:rFonts w:cs="Times New Roman"/>
          <w:i/>
          <w:iCs/>
          <w:sz w:val="24"/>
          <w:szCs w:val="24"/>
          <w:shd w:val="clear" w:color="auto" w:fill="FAF9F8"/>
        </w:rPr>
        <w:t xml:space="preserve"> Filho: 'O fracionamento em lotes deve respeitar a integridade qualitativa do objeto a ser executado. Não é possível desnaturar um certo objeto, fragmentando-o em contratações diversas e que importam o risco de impossibilidade de execução satisfatória.' (Comentários à Lei de Licitações e Contratos Administrativos. 10. ed. São Paulo: Dialética, 2004. p. 209).”</w:t>
      </w:r>
    </w:p>
    <w:p w14:paraId="37E1E190" w14:textId="77777777" w:rsidR="00AD59CD" w:rsidRPr="00AD59CD" w:rsidRDefault="00AD59CD" w:rsidP="00AD59CD">
      <w:pPr>
        <w:pStyle w:val="Standard"/>
        <w:spacing w:before="57" w:after="57" w:line="360" w:lineRule="auto"/>
        <w:ind w:left="360"/>
        <w:jc w:val="center"/>
        <w:rPr>
          <w:rFonts w:cs="Times New Roman"/>
          <w:sz w:val="24"/>
          <w:szCs w:val="24"/>
        </w:rPr>
      </w:pPr>
      <w:r w:rsidRPr="00AD59CD">
        <w:rPr>
          <w:rFonts w:cs="Times New Roman"/>
          <w:i/>
          <w:iCs/>
          <w:sz w:val="24"/>
          <w:szCs w:val="24"/>
          <w:shd w:val="clear" w:color="auto" w:fill="FAF9F8"/>
        </w:rPr>
        <w:t>(...)</w:t>
      </w:r>
    </w:p>
    <w:p w14:paraId="6F9715F2" w14:textId="77777777" w:rsidR="00AD59CD" w:rsidRPr="00AD59CD" w:rsidRDefault="00AD59CD" w:rsidP="00AD59CD">
      <w:pPr>
        <w:pStyle w:val="Standard"/>
        <w:spacing w:before="57" w:after="57" w:line="360" w:lineRule="auto"/>
        <w:jc w:val="both"/>
        <w:rPr>
          <w:rFonts w:cs="Times New Roman"/>
          <w:sz w:val="24"/>
          <w:szCs w:val="24"/>
        </w:rPr>
      </w:pPr>
    </w:p>
    <w:p w14:paraId="1231CD71" w14:textId="77777777" w:rsidR="00AD59CD" w:rsidRPr="00AD59CD" w:rsidRDefault="00AD59CD" w:rsidP="00A16FF6">
      <w:pPr>
        <w:pStyle w:val="Standard"/>
        <w:widowControl w:val="0"/>
        <w:numPr>
          <w:ilvl w:val="0"/>
          <w:numId w:val="31"/>
        </w:numPr>
        <w:autoSpaceDN w:val="0"/>
        <w:spacing w:before="57" w:after="57" w:line="360" w:lineRule="auto"/>
        <w:jc w:val="both"/>
        <w:rPr>
          <w:rFonts w:cs="Times New Roman"/>
          <w:b/>
          <w:bCs/>
          <w:sz w:val="24"/>
          <w:szCs w:val="24"/>
        </w:rPr>
      </w:pPr>
      <w:r w:rsidRPr="00AD59CD">
        <w:rPr>
          <w:rFonts w:cs="Times New Roman"/>
          <w:b/>
          <w:bCs/>
          <w:sz w:val="24"/>
          <w:szCs w:val="24"/>
        </w:rPr>
        <w:t>ALINHAMENTO COM O PLANEJAMENTO ESTRATÉGICO</w:t>
      </w:r>
    </w:p>
    <w:p w14:paraId="1BA32A84"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b/>
          <w:bCs/>
          <w:sz w:val="24"/>
          <w:szCs w:val="24"/>
        </w:rPr>
      </w:pPr>
      <w:r w:rsidRPr="00AD59CD">
        <w:rPr>
          <w:rFonts w:cs="Times New Roman"/>
          <w:b/>
          <w:bCs/>
          <w:sz w:val="24"/>
          <w:szCs w:val="24"/>
        </w:rPr>
        <w:t>Plano Direto de Tecnologia da Informação</w:t>
      </w:r>
    </w:p>
    <w:p w14:paraId="5DA2C1D9"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De acordo com o Plano Diretor de Tecnologia da Informação 2019/2021, a aquisição identifica-se com objetivo estratégico de modernização da infraestrutura física e tecnológica do CNMP, cujo objetivo de contribuição da STI deve assegurar a infraestrutura necessária às atividades do CNMP.</w:t>
      </w:r>
    </w:p>
    <w:p w14:paraId="47F38F01" w14:textId="77777777" w:rsidR="00AD59CD" w:rsidRPr="00AD59CD" w:rsidRDefault="00AD59CD" w:rsidP="00AD59CD">
      <w:pPr>
        <w:pStyle w:val="Standard"/>
        <w:spacing w:before="57" w:after="57" w:line="360" w:lineRule="auto"/>
        <w:ind w:left="1224"/>
        <w:jc w:val="both"/>
        <w:rPr>
          <w:rFonts w:cs="Times New Roman"/>
          <w:sz w:val="24"/>
          <w:szCs w:val="24"/>
        </w:rPr>
      </w:pPr>
    </w:p>
    <w:p w14:paraId="65C1E5CA" w14:textId="77777777" w:rsidR="00AD59CD" w:rsidRPr="00AD59CD" w:rsidRDefault="00AD59CD" w:rsidP="00A16FF6">
      <w:pPr>
        <w:pStyle w:val="Standard"/>
        <w:widowControl w:val="0"/>
        <w:numPr>
          <w:ilvl w:val="0"/>
          <w:numId w:val="31"/>
        </w:numPr>
        <w:autoSpaceDN w:val="0"/>
        <w:spacing w:before="57" w:after="57" w:line="360" w:lineRule="auto"/>
        <w:jc w:val="both"/>
        <w:rPr>
          <w:rFonts w:cs="Times New Roman"/>
          <w:b/>
          <w:bCs/>
          <w:sz w:val="24"/>
          <w:szCs w:val="24"/>
        </w:rPr>
      </w:pPr>
      <w:r w:rsidRPr="00AD59CD">
        <w:rPr>
          <w:rFonts w:cs="Times New Roman"/>
          <w:b/>
          <w:bCs/>
          <w:sz w:val="24"/>
          <w:szCs w:val="24"/>
        </w:rPr>
        <w:t>DESCRIÇÃO DO OBJETO</w:t>
      </w:r>
    </w:p>
    <w:p w14:paraId="5A995AB6"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b/>
          <w:bCs/>
          <w:sz w:val="24"/>
          <w:szCs w:val="24"/>
        </w:rPr>
      </w:pPr>
      <w:r w:rsidRPr="00AD59CD">
        <w:rPr>
          <w:rFonts w:cs="Times New Roman"/>
          <w:b/>
          <w:bCs/>
          <w:sz w:val="24"/>
          <w:szCs w:val="24"/>
        </w:rPr>
        <w:t xml:space="preserve">Lote 1 </w:t>
      </w:r>
    </w:p>
    <w:p w14:paraId="4839DA46"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b/>
          <w:bCs/>
          <w:sz w:val="24"/>
          <w:szCs w:val="24"/>
        </w:rPr>
        <w:t>Item 1</w:t>
      </w:r>
      <w:r w:rsidRPr="00AD59CD">
        <w:rPr>
          <w:rFonts w:cs="Times New Roman"/>
          <w:sz w:val="24"/>
          <w:szCs w:val="24"/>
        </w:rPr>
        <w:t xml:space="preserve">. Subscrições </w:t>
      </w:r>
      <w:r w:rsidRPr="00AD59CD">
        <w:rPr>
          <w:rFonts w:cs="Times New Roman"/>
          <w:i/>
          <w:iCs/>
          <w:sz w:val="24"/>
          <w:szCs w:val="24"/>
        </w:rPr>
        <w:t xml:space="preserve">Tableau </w:t>
      </w:r>
      <w:proofErr w:type="spellStart"/>
      <w:r w:rsidRPr="00AD59CD">
        <w:rPr>
          <w:rFonts w:cs="Times New Roman"/>
          <w:i/>
          <w:iCs/>
          <w:sz w:val="24"/>
          <w:szCs w:val="24"/>
        </w:rPr>
        <w:t>Viewer</w:t>
      </w:r>
      <w:proofErr w:type="spellEnd"/>
      <w:r w:rsidRPr="00AD59CD">
        <w:rPr>
          <w:rFonts w:cs="Times New Roman"/>
          <w:sz w:val="24"/>
          <w:szCs w:val="24"/>
        </w:rPr>
        <w:t xml:space="preserve"> mediante substituição de licenças de caráter perpétuo</w:t>
      </w:r>
    </w:p>
    <w:p w14:paraId="6E778751" w14:textId="77777777" w:rsidR="00AD59CD" w:rsidRPr="00AD59CD" w:rsidRDefault="00AD59CD" w:rsidP="00A16FF6">
      <w:pPr>
        <w:pStyle w:val="Standard"/>
        <w:widowControl w:val="0"/>
        <w:numPr>
          <w:ilvl w:val="3"/>
          <w:numId w:val="31"/>
        </w:numPr>
        <w:autoSpaceDN w:val="0"/>
        <w:spacing w:before="57" w:after="57" w:line="360" w:lineRule="auto"/>
        <w:jc w:val="both"/>
        <w:rPr>
          <w:rFonts w:cs="Times New Roman"/>
          <w:sz w:val="24"/>
          <w:szCs w:val="24"/>
        </w:rPr>
      </w:pPr>
      <w:r w:rsidRPr="00AD59CD">
        <w:rPr>
          <w:rFonts w:cs="Times New Roman"/>
          <w:sz w:val="24"/>
          <w:szCs w:val="24"/>
        </w:rPr>
        <w:t>Quantidade: 88</w:t>
      </w:r>
    </w:p>
    <w:p w14:paraId="7A8F3119" w14:textId="77777777" w:rsidR="00AD59CD" w:rsidRPr="00AD59CD" w:rsidRDefault="00AD59CD" w:rsidP="00A16FF6">
      <w:pPr>
        <w:pStyle w:val="Standard"/>
        <w:widowControl w:val="0"/>
        <w:numPr>
          <w:ilvl w:val="3"/>
          <w:numId w:val="31"/>
        </w:numPr>
        <w:autoSpaceDN w:val="0"/>
        <w:spacing w:before="57" w:after="57" w:line="360" w:lineRule="auto"/>
        <w:jc w:val="both"/>
        <w:rPr>
          <w:rFonts w:cs="Times New Roman"/>
          <w:sz w:val="24"/>
          <w:szCs w:val="24"/>
        </w:rPr>
      </w:pPr>
      <w:r w:rsidRPr="00AD59CD">
        <w:rPr>
          <w:rFonts w:cs="Times New Roman"/>
          <w:sz w:val="24"/>
          <w:szCs w:val="24"/>
        </w:rPr>
        <w:lastRenderedPageBreak/>
        <w:t>Período da subscrição: 36 meses;</w:t>
      </w:r>
    </w:p>
    <w:p w14:paraId="625B83E4" w14:textId="77777777" w:rsidR="00AD59CD" w:rsidRPr="00AD59CD" w:rsidRDefault="00AD59CD" w:rsidP="00A16FF6">
      <w:pPr>
        <w:pStyle w:val="Standard"/>
        <w:widowControl w:val="0"/>
        <w:numPr>
          <w:ilvl w:val="3"/>
          <w:numId w:val="31"/>
        </w:numPr>
        <w:autoSpaceDN w:val="0"/>
        <w:spacing w:before="57" w:after="57" w:line="360" w:lineRule="auto"/>
        <w:jc w:val="both"/>
        <w:rPr>
          <w:rFonts w:cs="Times New Roman"/>
          <w:sz w:val="24"/>
          <w:szCs w:val="24"/>
        </w:rPr>
      </w:pPr>
      <w:r w:rsidRPr="00AD59CD">
        <w:rPr>
          <w:rFonts w:cs="Times New Roman"/>
          <w:sz w:val="24"/>
          <w:szCs w:val="24"/>
        </w:rPr>
        <w:t xml:space="preserve">As 88 subscrições de </w:t>
      </w:r>
      <w:r w:rsidRPr="00AD59CD">
        <w:rPr>
          <w:rFonts w:cs="Times New Roman"/>
          <w:i/>
          <w:iCs/>
          <w:sz w:val="24"/>
          <w:szCs w:val="24"/>
        </w:rPr>
        <w:t xml:space="preserve">Tableau </w:t>
      </w:r>
      <w:proofErr w:type="spellStart"/>
      <w:r w:rsidRPr="00AD59CD">
        <w:rPr>
          <w:rFonts w:cs="Times New Roman"/>
          <w:i/>
          <w:iCs/>
          <w:sz w:val="24"/>
          <w:szCs w:val="24"/>
        </w:rPr>
        <w:t>Viewer</w:t>
      </w:r>
      <w:proofErr w:type="spellEnd"/>
      <w:r w:rsidRPr="00AD59CD">
        <w:rPr>
          <w:rFonts w:cs="Times New Roman"/>
          <w:sz w:val="24"/>
          <w:szCs w:val="24"/>
        </w:rPr>
        <w:t xml:space="preserve"> deverão manter o desconto relativo à substituição de 44 licenças </w:t>
      </w:r>
      <w:r w:rsidRPr="00AD59CD">
        <w:rPr>
          <w:rFonts w:cs="Times New Roman"/>
          <w:i/>
          <w:iCs/>
          <w:sz w:val="24"/>
          <w:szCs w:val="24"/>
        </w:rPr>
        <w:t xml:space="preserve">Tableau </w:t>
      </w:r>
      <w:proofErr w:type="spellStart"/>
      <w:r w:rsidRPr="00AD59CD">
        <w:rPr>
          <w:rFonts w:cs="Times New Roman"/>
          <w:i/>
          <w:iCs/>
          <w:sz w:val="24"/>
          <w:szCs w:val="24"/>
        </w:rPr>
        <w:t>Interactor</w:t>
      </w:r>
      <w:proofErr w:type="spellEnd"/>
      <w:r w:rsidRPr="00AD59CD">
        <w:rPr>
          <w:rFonts w:cs="Times New Roman"/>
          <w:i/>
          <w:sz w:val="24"/>
          <w:szCs w:val="24"/>
        </w:rPr>
        <w:t>;</w:t>
      </w:r>
    </w:p>
    <w:p w14:paraId="6BDFACC0" w14:textId="77777777" w:rsidR="00AD59CD" w:rsidRPr="00AD59CD" w:rsidRDefault="00AD59CD" w:rsidP="00A16FF6">
      <w:pPr>
        <w:pStyle w:val="Standard"/>
        <w:widowControl w:val="0"/>
        <w:numPr>
          <w:ilvl w:val="3"/>
          <w:numId w:val="31"/>
        </w:numPr>
        <w:autoSpaceDN w:val="0"/>
        <w:spacing w:before="57" w:after="57" w:line="360" w:lineRule="auto"/>
        <w:jc w:val="both"/>
        <w:rPr>
          <w:rFonts w:cs="Times New Roman"/>
          <w:sz w:val="24"/>
          <w:szCs w:val="24"/>
        </w:rPr>
      </w:pPr>
      <w:r w:rsidRPr="00AD59CD">
        <w:rPr>
          <w:rFonts w:cs="Times New Roman"/>
          <w:sz w:val="24"/>
          <w:szCs w:val="24"/>
        </w:rPr>
        <w:t xml:space="preserve"> Essas subscrições deverão manter o desconto dado pelo fabricante nas subscrições para a mudança de contrato, pelo período de 3 anos, conforme informado pelo fabricante.</w:t>
      </w:r>
    </w:p>
    <w:p w14:paraId="7EF3234E"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b/>
          <w:bCs/>
          <w:sz w:val="24"/>
          <w:szCs w:val="24"/>
        </w:rPr>
        <w:t>Item 2</w:t>
      </w:r>
      <w:r w:rsidRPr="00AD59CD">
        <w:rPr>
          <w:rFonts w:cs="Times New Roman"/>
          <w:sz w:val="24"/>
          <w:szCs w:val="24"/>
        </w:rPr>
        <w:t xml:space="preserve">. Subscrição de </w:t>
      </w:r>
      <w:r w:rsidRPr="00AD59CD">
        <w:rPr>
          <w:rFonts w:cs="Times New Roman"/>
          <w:i/>
          <w:iCs/>
          <w:sz w:val="24"/>
          <w:szCs w:val="24"/>
        </w:rPr>
        <w:t xml:space="preserve">Tableau </w:t>
      </w:r>
      <w:proofErr w:type="spellStart"/>
      <w:r w:rsidRPr="00AD59CD">
        <w:rPr>
          <w:rFonts w:cs="Times New Roman"/>
          <w:i/>
          <w:iCs/>
          <w:sz w:val="24"/>
          <w:szCs w:val="24"/>
        </w:rPr>
        <w:t>Creator</w:t>
      </w:r>
      <w:proofErr w:type="spellEnd"/>
      <w:r w:rsidRPr="00AD59CD">
        <w:rPr>
          <w:rFonts w:cs="Times New Roman"/>
          <w:sz w:val="24"/>
          <w:szCs w:val="24"/>
        </w:rPr>
        <w:t xml:space="preserve"> mediante substituição de licenças de caráter perpétuo</w:t>
      </w:r>
    </w:p>
    <w:p w14:paraId="509E545B" w14:textId="77777777" w:rsidR="00AD59CD" w:rsidRPr="00AD59CD" w:rsidRDefault="00AD59CD" w:rsidP="00A16FF6">
      <w:pPr>
        <w:pStyle w:val="Standard"/>
        <w:widowControl w:val="0"/>
        <w:numPr>
          <w:ilvl w:val="3"/>
          <w:numId w:val="31"/>
        </w:numPr>
        <w:autoSpaceDN w:val="0"/>
        <w:spacing w:before="57" w:after="57" w:line="360" w:lineRule="auto"/>
        <w:jc w:val="both"/>
        <w:rPr>
          <w:rFonts w:cs="Times New Roman"/>
          <w:sz w:val="24"/>
          <w:szCs w:val="24"/>
        </w:rPr>
      </w:pPr>
      <w:r w:rsidRPr="00AD59CD">
        <w:rPr>
          <w:rFonts w:cs="Times New Roman"/>
          <w:sz w:val="24"/>
          <w:szCs w:val="24"/>
        </w:rPr>
        <w:t>Quantidade: 32</w:t>
      </w:r>
    </w:p>
    <w:p w14:paraId="65170BFC" w14:textId="77777777" w:rsidR="00AD59CD" w:rsidRPr="00AD59CD" w:rsidRDefault="00AD59CD" w:rsidP="00A16FF6">
      <w:pPr>
        <w:pStyle w:val="Standard"/>
        <w:widowControl w:val="0"/>
        <w:numPr>
          <w:ilvl w:val="3"/>
          <w:numId w:val="31"/>
        </w:numPr>
        <w:autoSpaceDN w:val="0"/>
        <w:spacing w:before="57" w:after="57" w:line="360" w:lineRule="auto"/>
        <w:jc w:val="both"/>
        <w:rPr>
          <w:rFonts w:cs="Times New Roman"/>
          <w:sz w:val="24"/>
          <w:szCs w:val="24"/>
        </w:rPr>
      </w:pPr>
      <w:r w:rsidRPr="00AD59CD">
        <w:rPr>
          <w:rFonts w:cs="Times New Roman"/>
          <w:sz w:val="24"/>
          <w:szCs w:val="24"/>
        </w:rPr>
        <w:t>Período da subscrição: 36 meses;</w:t>
      </w:r>
    </w:p>
    <w:p w14:paraId="4033B616" w14:textId="77777777" w:rsidR="00AD59CD" w:rsidRPr="00AD59CD" w:rsidRDefault="00AD59CD" w:rsidP="00A16FF6">
      <w:pPr>
        <w:pStyle w:val="Standard"/>
        <w:widowControl w:val="0"/>
        <w:numPr>
          <w:ilvl w:val="3"/>
          <w:numId w:val="31"/>
        </w:numPr>
        <w:autoSpaceDN w:val="0"/>
        <w:spacing w:before="57" w:after="57" w:line="360" w:lineRule="auto"/>
        <w:jc w:val="both"/>
        <w:rPr>
          <w:rFonts w:cs="Times New Roman"/>
          <w:sz w:val="24"/>
          <w:szCs w:val="24"/>
        </w:rPr>
      </w:pPr>
      <w:r w:rsidRPr="00AD59CD">
        <w:rPr>
          <w:rFonts w:cs="Times New Roman"/>
          <w:sz w:val="24"/>
          <w:szCs w:val="24"/>
        </w:rPr>
        <w:t xml:space="preserve">As 32 subscrições Tableau </w:t>
      </w:r>
      <w:proofErr w:type="spellStart"/>
      <w:r w:rsidRPr="00AD59CD">
        <w:rPr>
          <w:rFonts w:cs="Times New Roman"/>
          <w:sz w:val="24"/>
          <w:szCs w:val="24"/>
        </w:rPr>
        <w:t>Creator</w:t>
      </w:r>
      <w:proofErr w:type="spellEnd"/>
      <w:r w:rsidRPr="00AD59CD">
        <w:rPr>
          <w:rFonts w:cs="Times New Roman"/>
          <w:sz w:val="24"/>
          <w:szCs w:val="24"/>
        </w:rPr>
        <w:t xml:space="preserve"> deverão manter o desconto relativo à substituição de 42 licenças Tableau </w:t>
      </w:r>
      <w:proofErr w:type="spellStart"/>
      <w:r w:rsidRPr="00AD59CD">
        <w:rPr>
          <w:rFonts w:cs="Times New Roman"/>
          <w:sz w:val="24"/>
          <w:szCs w:val="24"/>
        </w:rPr>
        <w:t>Interactor</w:t>
      </w:r>
      <w:proofErr w:type="spellEnd"/>
      <w:r w:rsidRPr="00AD59CD">
        <w:rPr>
          <w:rFonts w:cs="Times New Roman"/>
          <w:sz w:val="24"/>
          <w:szCs w:val="24"/>
        </w:rPr>
        <w:t xml:space="preserve"> e 11 licenças de Tableau Desktop Professional.</w:t>
      </w:r>
    </w:p>
    <w:p w14:paraId="1ADD4748" w14:textId="77777777" w:rsidR="00AD59CD" w:rsidRPr="00AD59CD" w:rsidRDefault="00AD59CD" w:rsidP="00A16FF6">
      <w:pPr>
        <w:pStyle w:val="Standard"/>
        <w:widowControl w:val="0"/>
        <w:numPr>
          <w:ilvl w:val="3"/>
          <w:numId w:val="31"/>
        </w:numPr>
        <w:autoSpaceDN w:val="0"/>
        <w:spacing w:before="57" w:after="57" w:line="360" w:lineRule="auto"/>
        <w:jc w:val="both"/>
        <w:rPr>
          <w:rFonts w:cs="Times New Roman"/>
          <w:sz w:val="24"/>
          <w:szCs w:val="24"/>
        </w:rPr>
      </w:pPr>
      <w:r w:rsidRPr="00AD59CD">
        <w:rPr>
          <w:rFonts w:cs="Times New Roman"/>
          <w:sz w:val="24"/>
          <w:szCs w:val="24"/>
        </w:rPr>
        <w:t>Essas subscrições deverão manter o desconto dado pelo fabricante nas subscrições para a mudança de contrato, pelo período de 3 anos, conforme informado pelo fabricante</w:t>
      </w:r>
    </w:p>
    <w:p w14:paraId="36044E1A" w14:textId="77777777" w:rsidR="00AD59CD" w:rsidRPr="00AD59CD" w:rsidRDefault="00AD59CD" w:rsidP="00AD59CD">
      <w:pPr>
        <w:pStyle w:val="Standard"/>
        <w:spacing w:before="57" w:after="57" w:line="360" w:lineRule="auto"/>
        <w:jc w:val="both"/>
        <w:rPr>
          <w:rFonts w:cs="Times New Roman"/>
          <w:sz w:val="24"/>
          <w:szCs w:val="24"/>
        </w:rPr>
      </w:pPr>
    </w:p>
    <w:p w14:paraId="5E351715" w14:textId="77777777" w:rsidR="00AD59CD" w:rsidRPr="00AD59CD" w:rsidRDefault="00AD59CD" w:rsidP="00A16FF6">
      <w:pPr>
        <w:pStyle w:val="PargrafodaLista"/>
        <w:numPr>
          <w:ilvl w:val="0"/>
          <w:numId w:val="31"/>
        </w:numPr>
        <w:suppressAutoHyphens w:val="0"/>
        <w:contextualSpacing/>
        <w:rPr>
          <w:rFonts w:cs="Times New Roman"/>
          <w:b/>
          <w:bCs/>
          <w:sz w:val="24"/>
          <w:szCs w:val="24"/>
        </w:rPr>
      </w:pPr>
      <w:r w:rsidRPr="00AD59CD">
        <w:rPr>
          <w:rFonts w:cs="Times New Roman"/>
          <w:b/>
          <w:bCs/>
          <w:sz w:val="24"/>
          <w:szCs w:val="24"/>
        </w:rPr>
        <w:t>Suporte Técnico e Atualização de Licenças </w:t>
      </w:r>
    </w:p>
    <w:p w14:paraId="35C36017" w14:textId="77777777" w:rsidR="00AD59CD" w:rsidRPr="00AD59CD" w:rsidRDefault="00AD59CD" w:rsidP="00AD59CD">
      <w:pPr>
        <w:widowControl/>
        <w:suppressAutoHyphens w:val="0"/>
        <w:rPr>
          <w:rFonts w:cs="Times New Roman"/>
          <w:b/>
          <w:bCs/>
        </w:rPr>
      </w:pPr>
    </w:p>
    <w:p w14:paraId="234A1591"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b/>
          <w:bCs/>
          <w:sz w:val="24"/>
          <w:szCs w:val="24"/>
        </w:rPr>
      </w:pPr>
      <w:r w:rsidRPr="00AD59CD">
        <w:rPr>
          <w:rFonts w:cs="Times New Roman"/>
          <w:b/>
          <w:bCs/>
          <w:sz w:val="24"/>
          <w:szCs w:val="24"/>
        </w:rPr>
        <w:t xml:space="preserve">Regras Gerais </w:t>
      </w:r>
    </w:p>
    <w:p w14:paraId="6C2A32E4"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Os serviços de suporte técnico e de atualização de versão têm por finalidade garantir a sustentação, a plena utilização e atualização da solução, sendo prestado diretamente pelo fabricante da solução;</w:t>
      </w:r>
    </w:p>
    <w:p w14:paraId="29EF3F27"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O serviço de atualização se refere ao fornecimento de novas versões e releases dos produtos da solução lançados no decorrer da vigência do contrato;</w:t>
      </w:r>
    </w:p>
    <w:p w14:paraId="5A568B6A"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 xml:space="preserve"> A cada nova liberação de versão e release, a fabricante deverá disponibilizar instaladores para download por meio de portal web, assim como fornecer – em português do Brasil – as atualizações de manuais e demais documentos técnicos; </w:t>
      </w:r>
    </w:p>
    <w:p w14:paraId="452F4FF4"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lastRenderedPageBreak/>
        <w:t>O suporte inclui acesso, livre de qualquer ônus, à base de conhecimento mundial do fabricante sobre os produtos contemplados no objeto deste termo de referência, bem como ao repositório de programas do fabricante na WEB contendo correções, atualizações recentes, drivers, programas de controle e outras informações acerca dos programas, incluindo fórum de debates e banco de dados de problemas e soluções sobre os programas;</w:t>
      </w:r>
    </w:p>
    <w:p w14:paraId="431B1370"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Os chamados deverão ser registrados em sistema provido pela FABRICANTE; </w:t>
      </w:r>
    </w:p>
    <w:p w14:paraId="00C59AB0"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Durante todo o período de garantia contratual, os serviços de abertura de chamado e de suporte técnico remoto serão prestados por meio de portal web, no horário comercial com cobertura de 8 (oito) horas por 5 (cinco) dias por semana;</w:t>
      </w:r>
    </w:p>
    <w:p w14:paraId="37CC141A"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 xml:space="preserve">O horário comercial a ser considerado é o de segunda-feira </w:t>
      </w:r>
      <w:proofErr w:type="gramStart"/>
      <w:r w:rsidRPr="00AD59CD">
        <w:rPr>
          <w:rFonts w:cs="Times New Roman"/>
          <w:sz w:val="24"/>
          <w:szCs w:val="24"/>
        </w:rPr>
        <w:t>à</w:t>
      </w:r>
      <w:proofErr w:type="gramEnd"/>
      <w:r w:rsidRPr="00AD59CD">
        <w:rPr>
          <w:rFonts w:cs="Times New Roman"/>
          <w:sz w:val="24"/>
          <w:szCs w:val="24"/>
        </w:rPr>
        <w:t xml:space="preserve"> sexta-feira, exceto feriados, das 08h00 às 18h00; </w:t>
      </w:r>
    </w:p>
    <w:p w14:paraId="2B2BEBD6"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O atendimento de suporte técnico deve ser classificado por níveis de prioridade assim definidos: </w:t>
      </w:r>
    </w:p>
    <w:tbl>
      <w:tblPr>
        <w:tblpPr w:leftFromText="141" w:rightFromText="141" w:vertAnchor="text" w:horzAnchor="page" w:tblpX="2641" w:tblpY="170"/>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4170"/>
        <w:gridCol w:w="2025"/>
      </w:tblGrid>
      <w:tr w:rsidR="00AD59CD" w:rsidRPr="00AD59CD" w14:paraId="47E75AA0" w14:textId="77777777" w:rsidTr="0024040C">
        <w:trPr>
          <w:trHeight w:val="375"/>
        </w:trPr>
        <w:tc>
          <w:tcPr>
            <w:tcW w:w="7500"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4F032D22" w14:textId="77777777" w:rsidR="00AD59CD" w:rsidRPr="00AD59CD" w:rsidRDefault="00AD59CD" w:rsidP="0024040C">
            <w:pPr>
              <w:widowControl/>
              <w:suppressAutoHyphens w:val="0"/>
              <w:jc w:val="center"/>
              <w:rPr>
                <w:rFonts w:cs="Times New Roman"/>
              </w:rPr>
            </w:pPr>
            <w:r w:rsidRPr="00AD59CD">
              <w:rPr>
                <w:rFonts w:cs="Times New Roman"/>
              </w:rPr>
              <w:t>Níveis de Prioridade de Suporte Técnico </w:t>
            </w:r>
          </w:p>
        </w:tc>
      </w:tr>
      <w:tr w:rsidR="00AD59CD" w:rsidRPr="00AD59CD" w14:paraId="4F76B6B7" w14:textId="77777777" w:rsidTr="0024040C">
        <w:trPr>
          <w:trHeight w:val="870"/>
        </w:trPr>
        <w:tc>
          <w:tcPr>
            <w:tcW w:w="1305" w:type="dxa"/>
            <w:tcBorders>
              <w:top w:val="nil"/>
              <w:left w:val="single" w:sz="6" w:space="0" w:color="auto"/>
              <w:bottom w:val="single" w:sz="6" w:space="0" w:color="auto"/>
              <w:right w:val="single" w:sz="6" w:space="0" w:color="auto"/>
            </w:tcBorders>
            <w:shd w:val="clear" w:color="auto" w:fill="F2F2F2"/>
            <w:vAlign w:val="center"/>
            <w:hideMark/>
          </w:tcPr>
          <w:p w14:paraId="118C8DD6" w14:textId="77777777" w:rsidR="00AD59CD" w:rsidRPr="00AD59CD" w:rsidRDefault="00AD59CD" w:rsidP="0024040C">
            <w:pPr>
              <w:widowControl/>
              <w:suppressAutoHyphens w:val="0"/>
              <w:jc w:val="center"/>
              <w:rPr>
                <w:rFonts w:cs="Times New Roman"/>
              </w:rPr>
            </w:pPr>
            <w:r w:rsidRPr="00AD59CD">
              <w:rPr>
                <w:rFonts w:cs="Times New Roman"/>
              </w:rPr>
              <w:t>Prioridade </w:t>
            </w:r>
          </w:p>
        </w:tc>
        <w:tc>
          <w:tcPr>
            <w:tcW w:w="4170" w:type="dxa"/>
            <w:tcBorders>
              <w:top w:val="nil"/>
              <w:left w:val="nil"/>
              <w:bottom w:val="single" w:sz="6" w:space="0" w:color="auto"/>
              <w:right w:val="single" w:sz="6" w:space="0" w:color="auto"/>
            </w:tcBorders>
            <w:shd w:val="clear" w:color="auto" w:fill="F2F2F2"/>
            <w:vAlign w:val="center"/>
            <w:hideMark/>
          </w:tcPr>
          <w:p w14:paraId="5829F8D2" w14:textId="77777777" w:rsidR="00AD59CD" w:rsidRPr="00AD59CD" w:rsidRDefault="00AD59CD" w:rsidP="0024040C">
            <w:pPr>
              <w:widowControl/>
              <w:suppressAutoHyphens w:val="0"/>
              <w:jc w:val="center"/>
              <w:rPr>
                <w:rFonts w:cs="Times New Roman"/>
              </w:rPr>
            </w:pPr>
            <w:r w:rsidRPr="00AD59CD">
              <w:rPr>
                <w:rFonts w:cs="Times New Roman"/>
              </w:rPr>
              <w:t>Descrição </w:t>
            </w:r>
          </w:p>
        </w:tc>
        <w:tc>
          <w:tcPr>
            <w:tcW w:w="2025" w:type="dxa"/>
            <w:tcBorders>
              <w:top w:val="nil"/>
              <w:left w:val="nil"/>
              <w:bottom w:val="single" w:sz="6" w:space="0" w:color="auto"/>
              <w:right w:val="single" w:sz="6" w:space="0" w:color="auto"/>
            </w:tcBorders>
            <w:shd w:val="clear" w:color="auto" w:fill="F2F2F2"/>
            <w:vAlign w:val="center"/>
            <w:hideMark/>
          </w:tcPr>
          <w:p w14:paraId="5D3B8553" w14:textId="77777777" w:rsidR="00AD59CD" w:rsidRPr="00AD59CD" w:rsidRDefault="00AD59CD" w:rsidP="0024040C">
            <w:pPr>
              <w:widowControl/>
              <w:suppressAutoHyphens w:val="0"/>
              <w:jc w:val="center"/>
              <w:rPr>
                <w:rFonts w:cs="Times New Roman"/>
              </w:rPr>
            </w:pPr>
            <w:r w:rsidRPr="00AD59CD">
              <w:rPr>
                <w:rFonts w:cs="Times New Roman"/>
              </w:rPr>
              <w:t>Prazo Início de Atendimento </w:t>
            </w:r>
          </w:p>
        </w:tc>
      </w:tr>
      <w:tr w:rsidR="00AD59CD" w:rsidRPr="00AD59CD" w14:paraId="7BBC5097" w14:textId="77777777" w:rsidTr="0024040C">
        <w:trPr>
          <w:trHeight w:val="630"/>
        </w:trPr>
        <w:tc>
          <w:tcPr>
            <w:tcW w:w="1305" w:type="dxa"/>
            <w:tcBorders>
              <w:top w:val="nil"/>
              <w:left w:val="single" w:sz="6" w:space="0" w:color="auto"/>
              <w:bottom w:val="single" w:sz="6" w:space="0" w:color="auto"/>
              <w:right w:val="single" w:sz="6" w:space="0" w:color="auto"/>
            </w:tcBorders>
            <w:shd w:val="clear" w:color="auto" w:fill="auto"/>
            <w:vAlign w:val="center"/>
            <w:hideMark/>
          </w:tcPr>
          <w:p w14:paraId="184C6419" w14:textId="77777777" w:rsidR="00AD59CD" w:rsidRPr="00AD59CD" w:rsidRDefault="00AD59CD" w:rsidP="0024040C">
            <w:pPr>
              <w:widowControl/>
              <w:suppressAutoHyphens w:val="0"/>
              <w:jc w:val="center"/>
              <w:rPr>
                <w:rFonts w:cs="Times New Roman"/>
              </w:rPr>
            </w:pPr>
            <w:r w:rsidRPr="00AD59CD">
              <w:rPr>
                <w:rFonts w:cs="Times New Roman"/>
              </w:rPr>
              <w:t>1 </w:t>
            </w:r>
          </w:p>
        </w:tc>
        <w:tc>
          <w:tcPr>
            <w:tcW w:w="4170" w:type="dxa"/>
            <w:tcBorders>
              <w:top w:val="nil"/>
              <w:left w:val="nil"/>
              <w:bottom w:val="single" w:sz="6" w:space="0" w:color="auto"/>
              <w:right w:val="single" w:sz="6" w:space="0" w:color="auto"/>
            </w:tcBorders>
            <w:shd w:val="clear" w:color="auto" w:fill="auto"/>
            <w:vAlign w:val="center"/>
            <w:hideMark/>
          </w:tcPr>
          <w:p w14:paraId="45A8CFD9" w14:textId="77777777" w:rsidR="00AD59CD" w:rsidRPr="00AD59CD" w:rsidRDefault="00AD59CD" w:rsidP="0024040C">
            <w:pPr>
              <w:widowControl/>
              <w:suppressAutoHyphens w:val="0"/>
              <w:jc w:val="center"/>
              <w:rPr>
                <w:rFonts w:cs="Times New Roman"/>
              </w:rPr>
            </w:pPr>
            <w:r w:rsidRPr="00AD59CD">
              <w:rPr>
                <w:rFonts w:cs="Times New Roman"/>
              </w:rPr>
              <w:t>Ambiente de produção totalmente paralisado. Todos os usuários são afetados </w:t>
            </w:r>
          </w:p>
        </w:tc>
        <w:tc>
          <w:tcPr>
            <w:tcW w:w="2025" w:type="dxa"/>
            <w:tcBorders>
              <w:top w:val="nil"/>
              <w:left w:val="nil"/>
              <w:bottom w:val="single" w:sz="6" w:space="0" w:color="auto"/>
              <w:right w:val="single" w:sz="6" w:space="0" w:color="auto"/>
            </w:tcBorders>
            <w:shd w:val="clear" w:color="auto" w:fill="auto"/>
            <w:vAlign w:val="center"/>
            <w:hideMark/>
          </w:tcPr>
          <w:p w14:paraId="783A9D95" w14:textId="77777777" w:rsidR="00AD59CD" w:rsidRPr="00AD59CD" w:rsidRDefault="00AD59CD" w:rsidP="0024040C">
            <w:pPr>
              <w:widowControl/>
              <w:suppressAutoHyphens w:val="0"/>
              <w:jc w:val="center"/>
              <w:rPr>
                <w:rFonts w:cs="Times New Roman"/>
              </w:rPr>
            </w:pPr>
            <w:r w:rsidRPr="00AD59CD">
              <w:rPr>
                <w:rFonts w:cs="Times New Roman"/>
              </w:rPr>
              <w:t>8 horas </w:t>
            </w:r>
          </w:p>
        </w:tc>
      </w:tr>
      <w:tr w:rsidR="00AD59CD" w:rsidRPr="00AD59CD" w14:paraId="468D8076" w14:textId="77777777" w:rsidTr="0024040C">
        <w:trPr>
          <w:trHeight w:val="1275"/>
        </w:trPr>
        <w:tc>
          <w:tcPr>
            <w:tcW w:w="1305" w:type="dxa"/>
            <w:tcBorders>
              <w:top w:val="nil"/>
              <w:left w:val="single" w:sz="6" w:space="0" w:color="auto"/>
              <w:bottom w:val="single" w:sz="6" w:space="0" w:color="auto"/>
              <w:right w:val="single" w:sz="6" w:space="0" w:color="auto"/>
            </w:tcBorders>
            <w:shd w:val="clear" w:color="auto" w:fill="auto"/>
            <w:vAlign w:val="center"/>
            <w:hideMark/>
          </w:tcPr>
          <w:p w14:paraId="026CAD9D" w14:textId="77777777" w:rsidR="00AD59CD" w:rsidRPr="00AD59CD" w:rsidRDefault="00AD59CD" w:rsidP="0024040C">
            <w:pPr>
              <w:widowControl/>
              <w:suppressAutoHyphens w:val="0"/>
              <w:jc w:val="center"/>
              <w:rPr>
                <w:rFonts w:cs="Times New Roman"/>
              </w:rPr>
            </w:pPr>
            <w:r w:rsidRPr="00AD59CD">
              <w:rPr>
                <w:rFonts w:cs="Times New Roman"/>
              </w:rPr>
              <w:t>2 </w:t>
            </w:r>
          </w:p>
        </w:tc>
        <w:tc>
          <w:tcPr>
            <w:tcW w:w="4170" w:type="dxa"/>
            <w:tcBorders>
              <w:top w:val="nil"/>
              <w:left w:val="nil"/>
              <w:bottom w:val="single" w:sz="6" w:space="0" w:color="auto"/>
              <w:right w:val="single" w:sz="6" w:space="0" w:color="auto"/>
            </w:tcBorders>
            <w:shd w:val="clear" w:color="auto" w:fill="auto"/>
            <w:vAlign w:val="center"/>
            <w:hideMark/>
          </w:tcPr>
          <w:p w14:paraId="1E4D2426" w14:textId="77777777" w:rsidR="00AD59CD" w:rsidRPr="00AD59CD" w:rsidRDefault="00AD59CD" w:rsidP="0024040C">
            <w:pPr>
              <w:widowControl/>
              <w:suppressAutoHyphens w:val="0"/>
              <w:jc w:val="center"/>
              <w:rPr>
                <w:rFonts w:cs="Times New Roman"/>
              </w:rPr>
            </w:pPr>
            <w:r w:rsidRPr="00AD59CD">
              <w:rPr>
                <w:rFonts w:cs="Times New Roman"/>
              </w:rPr>
              <w:t>Problema grave, prejudicando severamente o funcionamento do software em ambiente de produção. Alto número de usuários afetados. </w:t>
            </w:r>
          </w:p>
        </w:tc>
        <w:tc>
          <w:tcPr>
            <w:tcW w:w="2025" w:type="dxa"/>
            <w:tcBorders>
              <w:top w:val="nil"/>
              <w:left w:val="nil"/>
              <w:bottom w:val="single" w:sz="6" w:space="0" w:color="auto"/>
              <w:right w:val="single" w:sz="6" w:space="0" w:color="auto"/>
            </w:tcBorders>
            <w:shd w:val="clear" w:color="auto" w:fill="auto"/>
            <w:vAlign w:val="center"/>
            <w:hideMark/>
          </w:tcPr>
          <w:p w14:paraId="10707D8F" w14:textId="77777777" w:rsidR="00AD59CD" w:rsidRPr="00AD59CD" w:rsidRDefault="00AD59CD" w:rsidP="0024040C">
            <w:pPr>
              <w:widowControl/>
              <w:suppressAutoHyphens w:val="0"/>
              <w:jc w:val="center"/>
              <w:rPr>
                <w:rFonts w:cs="Times New Roman"/>
              </w:rPr>
            </w:pPr>
            <w:r w:rsidRPr="00AD59CD">
              <w:rPr>
                <w:rFonts w:cs="Times New Roman"/>
              </w:rPr>
              <w:t>48 horas </w:t>
            </w:r>
          </w:p>
        </w:tc>
      </w:tr>
      <w:tr w:rsidR="00AD59CD" w:rsidRPr="00AD59CD" w14:paraId="7724489B" w14:textId="77777777" w:rsidTr="0024040C">
        <w:trPr>
          <w:trHeight w:val="1275"/>
        </w:trPr>
        <w:tc>
          <w:tcPr>
            <w:tcW w:w="1305" w:type="dxa"/>
            <w:tcBorders>
              <w:top w:val="nil"/>
              <w:left w:val="single" w:sz="6" w:space="0" w:color="auto"/>
              <w:bottom w:val="single" w:sz="6" w:space="0" w:color="auto"/>
              <w:right w:val="single" w:sz="6" w:space="0" w:color="auto"/>
            </w:tcBorders>
            <w:shd w:val="clear" w:color="auto" w:fill="auto"/>
            <w:vAlign w:val="center"/>
            <w:hideMark/>
          </w:tcPr>
          <w:p w14:paraId="3D85FA78" w14:textId="77777777" w:rsidR="00AD59CD" w:rsidRPr="00AD59CD" w:rsidRDefault="00AD59CD" w:rsidP="0024040C">
            <w:pPr>
              <w:widowControl/>
              <w:suppressAutoHyphens w:val="0"/>
              <w:jc w:val="center"/>
              <w:rPr>
                <w:rFonts w:cs="Times New Roman"/>
              </w:rPr>
            </w:pPr>
            <w:r w:rsidRPr="00AD59CD">
              <w:rPr>
                <w:rFonts w:cs="Times New Roman"/>
              </w:rPr>
              <w:t>3 </w:t>
            </w:r>
          </w:p>
        </w:tc>
        <w:tc>
          <w:tcPr>
            <w:tcW w:w="4170" w:type="dxa"/>
            <w:tcBorders>
              <w:top w:val="nil"/>
              <w:left w:val="nil"/>
              <w:bottom w:val="single" w:sz="6" w:space="0" w:color="auto"/>
              <w:right w:val="single" w:sz="6" w:space="0" w:color="auto"/>
            </w:tcBorders>
            <w:shd w:val="clear" w:color="auto" w:fill="auto"/>
            <w:vAlign w:val="center"/>
            <w:hideMark/>
          </w:tcPr>
          <w:p w14:paraId="57E6B1FF" w14:textId="77777777" w:rsidR="00AD59CD" w:rsidRPr="00AD59CD" w:rsidRDefault="00AD59CD" w:rsidP="0024040C">
            <w:pPr>
              <w:widowControl/>
              <w:suppressAutoHyphens w:val="0"/>
              <w:jc w:val="center"/>
              <w:rPr>
                <w:rFonts w:cs="Times New Roman"/>
              </w:rPr>
            </w:pPr>
            <w:r w:rsidRPr="00AD59CD">
              <w:rPr>
                <w:rFonts w:cs="Times New Roman"/>
              </w:rPr>
              <w:t>Problema leve, prejudicando o funcionamento do software em ambiente de produção. Baixo número de usuários afetados. </w:t>
            </w:r>
          </w:p>
        </w:tc>
        <w:tc>
          <w:tcPr>
            <w:tcW w:w="2025" w:type="dxa"/>
            <w:tcBorders>
              <w:top w:val="nil"/>
              <w:left w:val="nil"/>
              <w:bottom w:val="single" w:sz="6" w:space="0" w:color="auto"/>
              <w:right w:val="single" w:sz="6" w:space="0" w:color="auto"/>
            </w:tcBorders>
            <w:shd w:val="clear" w:color="auto" w:fill="auto"/>
            <w:vAlign w:val="center"/>
            <w:hideMark/>
          </w:tcPr>
          <w:p w14:paraId="48476CC3" w14:textId="77777777" w:rsidR="00AD59CD" w:rsidRPr="00AD59CD" w:rsidRDefault="00AD59CD" w:rsidP="0024040C">
            <w:pPr>
              <w:widowControl/>
              <w:suppressAutoHyphens w:val="0"/>
              <w:jc w:val="center"/>
              <w:rPr>
                <w:rFonts w:cs="Times New Roman"/>
              </w:rPr>
            </w:pPr>
            <w:r w:rsidRPr="00AD59CD">
              <w:rPr>
                <w:rFonts w:cs="Times New Roman"/>
              </w:rPr>
              <w:t>72 horas </w:t>
            </w:r>
          </w:p>
        </w:tc>
      </w:tr>
    </w:tbl>
    <w:p w14:paraId="4602655C" w14:textId="77777777" w:rsidR="00AD59CD" w:rsidRPr="00AD59CD" w:rsidRDefault="00AD59CD" w:rsidP="00AD59CD">
      <w:pPr>
        <w:pStyle w:val="Standard"/>
        <w:spacing w:before="57" w:after="57" w:line="360" w:lineRule="auto"/>
        <w:jc w:val="both"/>
        <w:rPr>
          <w:rFonts w:cs="Times New Roman"/>
          <w:sz w:val="24"/>
          <w:szCs w:val="24"/>
        </w:rPr>
      </w:pPr>
    </w:p>
    <w:p w14:paraId="64F7486C" w14:textId="77777777" w:rsidR="00AD59CD" w:rsidRPr="00AD59CD" w:rsidRDefault="00AD59CD" w:rsidP="00A16FF6">
      <w:pPr>
        <w:pStyle w:val="PargrafodaLista"/>
        <w:numPr>
          <w:ilvl w:val="2"/>
          <w:numId w:val="31"/>
        </w:numPr>
        <w:suppressAutoHyphens w:val="0"/>
        <w:spacing w:line="360" w:lineRule="auto"/>
        <w:contextualSpacing/>
        <w:jc w:val="both"/>
        <w:rPr>
          <w:rFonts w:cs="Times New Roman"/>
          <w:sz w:val="24"/>
          <w:szCs w:val="24"/>
        </w:rPr>
      </w:pPr>
      <w:r w:rsidRPr="00AD59CD">
        <w:rPr>
          <w:rFonts w:cs="Times New Roman"/>
          <w:sz w:val="24"/>
          <w:szCs w:val="24"/>
        </w:rPr>
        <w:t>Por necessidade do serviço ou criticidade da ocorrência, poderá ser solicitado o escalonamento do chamado para o nível superior ou inferior de prioridade; </w:t>
      </w:r>
    </w:p>
    <w:p w14:paraId="7DA23471" w14:textId="77777777" w:rsidR="00AD59CD" w:rsidRPr="00AD59CD" w:rsidRDefault="00AD59CD" w:rsidP="00A16FF6">
      <w:pPr>
        <w:pStyle w:val="PargrafodaLista"/>
        <w:numPr>
          <w:ilvl w:val="2"/>
          <w:numId w:val="31"/>
        </w:numPr>
        <w:suppressAutoHyphens w:val="0"/>
        <w:spacing w:line="360" w:lineRule="auto"/>
        <w:contextualSpacing/>
        <w:jc w:val="both"/>
        <w:rPr>
          <w:rFonts w:cs="Times New Roman"/>
          <w:sz w:val="24"/>
          <w:szCs w:val="24"/>
        </w:rPr>
      </w:pPr>
      <w:r w:rsidRPr="00AD59CD">
        <w:rPr>
          <w:rFonts w:cs="Times New Roman"/>
          <w:sz w:val="24"/>
          <w:szCs w:val="24"/>
        </w:rPr>
        <w:lastRenderedPageBreak/>
        <w:t>O encerramento do chamado dar-se-á quer pela aplicação de correção ao componente, quer pela aplicação de solução de contorno que possibilite a operação do sistema; </w:t>
      </w:r>
    </w:p>
    <w:p w14:paraId="52C2D1C1" w14:textId="77777777" w:rsidR="00AD59CD" w:rsidRPr="00AD59CD" w:rsidRDefault="00AD59CD" w:rsidP="00A16FF6">
      <w:pPr>
        <w:pStyle w:val="PargrafodaLista"/>
        <w:numPr>
          <w:ilvl w:val="2"/>
          <w:numId w:val="31"/>
        </w:numPr>
        <w:suppressAutoHyphens w:val="0"/>
        <w:spacing w:line="360" w:lineRule="auto"/>
        <w:contextualSpacing/>
        <w:jc w:val="both"/>
        <w:rPr>
          <w:rFonts w:cs="Times New Roman"/>
          <w:sz w:val="24"/>
          <w:szCs w:val="24"/>
        </w:rPr>
      </w:pPr>
      <w:r w:rsidRPr="00AD59CD">
        <w:rPr>
          <w:rFonts w:cs="Times New Roman"/>
          <w:sz w:val="24"/>
          <w:szCs w:val="24"/>
        </w:rPr>
        <w:t>Antes do encerramento de cada chamado, a CONTRATANTE deverá ser consultada para validar o encerramento do chamado. </w:t>
      </w:r>
    </w:p>
    <w:p w14:paraId="16F5B8F3" w14:textId="77777777" w:rsidR="00AD59CD" w:rsidRPr="00AD59CD" w:rsidRDefault="00AD59CD" w:rsidP="00AD59CD">
      <w:pPr>
        <w:pStyle w:val="PargrafodaLista"/>
        <w:suppressAutoHyphens w:val="0"/>
        <w:spacing w:line="360" w:lineRule="auto"/>
        <w:ind w:left="1224"/>
        <w:jc w:val="both"/>
        <w:rPr>
          <w:rFonts w:cs="Times New Roman"/>
          <w:sz w:val="24"/>
          <w:szCs w:val="24"/>
          <w:highlight w:val="yellow"/>
        </w:rPr>
      </w:pPr>
    </w:p>
    <w:p w14:paraId="6BC501F7" w14:textId="77777777" w:rsidR="00AD59CD" w:rsidRPr="00AD59CD" w:rsidRDefault="00AD59CD" w:rsidP="00A16FF6">
      <w:pPr>
        <w:pStyle w:val="PargrafodaLista"/>
        <w:numPr>
          <w:ilvl w:val="0"/>
          <w:numId w:val="31"/>
        </w:numPr>
        <w:suppressAutoHyphens w:val="0"/>
        <w:spacing w:line="360" w:lineRule="auto"/>
        <w:contextualSpacing/>
        <w:jc w:val="both"/>
        <w:rPr>
          <w:rFonts w:cs="Times New Roman"/>
          <w:b/>
          <w:bCs/>
          <w:sz w:val="24"/>
          <w:szCs w:val="24"/>
        </w:rPr>
      </w:pPr>
      <w:r w:rsidRPr="00AD59CD">
        <w:rPr>
          <w:rFonts w:cs="Times New Roman"/>
          <w:b/>
          <w:bCs/>
          <w:sz w:val="24"/>
          <w:szCs w:val="24"/>
        </w:rPr>
        <w:t xml:space="preserve">Do Acordo de Nível de Serviço </w:t>
      </w:r>
    </w:p>
    <w:p w14:paraId="7FE949B4" w14:textId="77777777" w:rsidR="00AD59CD" w:rsidRPr="00AD59CD" w:rsidRDefault="00AD59CD" w:rsidP="00A16FF6">
      <w:pPr>
        <w:pStyle w:val="PargrafodaLista"/>
        <w:numPr>
          <w:ilvl w:val="1"/>
          <w:numId w:val="31"/>
        </w:numPr>
        <w:suppressAutoHyphens w:val="0"/>
        <w:spacing w:line="360" w:lineRule="auto"/>
        <w:contextualSpacing/>
        <w:jc w:val="both"/>
        <w:rPr>
          <w:rFonts w:cs="Times New Roman"/>
          <w:b/>
          <w:bCs/>
          <w:sz w:val="24"/>
          <w:szCs w:val="24"/>
        </w:rPr>
      </w:pPr>
      <w:r w:rsidRPr="00AD59CD">
        <w:rPr>
          <w:rFonts w:cs="Times New Roman"/>
          <w:b/>
          <w:bCs/>
          <w:sz w:val="24"/>
          <w:szCs w:val="24"/>
        </w:rPr>
        <w:t>Das Condições </w:t>
      </w:r>
    </w:p>
    <w:p w14:paraId="33BD6AAA" w14:textId="77777777" w:rsidR="00AD59CD" w:rsidRPr="00AD59CD" w:rsidRDefault="00AD59CD" w:rsidP="00A16FF6">
      <w:pPr>
        <w:pStyle w:val="PargrafodaLista"/>
        <w:numPr>
          <w:ilvl w:val="2"/>
          <w:numId w:val="31"/>
        </w:numPr>
        <w:suppressAutoHyphens w:val="0"/>
        <w:spacing w:line="360" w:lineRule="auto"/>
        <w:contextualSpacing/>
        <w:jc w:val="both"/>
        <w:rPr>
          <w:rFonts w:cs="Times New Roman"/>
          <w:sz w:val="24"/>
          <w:szCs w:val="24"/>
        </w:rPr>
      </w:pPr>
      <w:r w:rsidRPr="00AD59CD">
        <w:rPr>
          <w:rFonts w:cs="Times New Roman"/>
          <w:sz w:val="24"/>
          <w:szCs w:val="24"/>
        </w:rPr>
        <w:t>A CONTRATADA estará sujeita a multas calculadas sobre o valor global do CONTRATO, sem prejuízo da aplicação das sanções legais previstas nas legislações vigentes e penalidades elencadas nesse termo de referência, caso os níveis de serviço sejam descumpridos;</w:t>
      </w:r>
    </w:p>
    <w:p w14:paraId="04B1C15F" w14:textId="77777777" w:rsidR="00AD59CD" w:rsidRPr="00AD59CD" w:rsidRDefault="00AD59CD" w:rsidP="00A16FF6">
      <w:pPr>
        <w:pStyle w:val="PargrafodaLista"/>
        <w:numPr>
          <w:ilvl w:val="2"/>
          <w:numId w:val="31"/>
        </w:numPr>
        <w:suppressAutoHyphens w:val="0"/>
        <w:spacing w:line="360" w:lineRule="auto"/>
        <w:contextualSpacing/>
        <w:jc w:val="both"/>
        <w:rPr>
          <w:rFonts w:cs="Times New Roman"/>
          <w:sz w:val="24"/>
          <w:szCs w:val="24"/>
        </w:rPr>
      </w:pPr>
      <w:r w:rsidRPr="00AD59CD">
        <w:rPr>
          <w:rFonts w:cs="Times New Roman"/>
          <w:sz w:val="24"/>
          <w:szCs w:val="24"/>
        </w:rPr>
        <w:t>O descumprimento dos limites de níveis de serviço poderá ensejar a adoção de ações administrativas para a rescisão do contrato, por inexecução total ou parcial, sem prejuízo da aplicação das demais sanções ou descontos previstos;</w:t>
      </w:r>
    </w:p>
    <w:p w14:paraId="3254032C" w14:textId="77777777" w:rsidR="00AD59CD" w:rsidRPr="00AD59CD" w:rsidRDefault="00AD59CD" w:rsidP="00A16FF6">
      <w:pPr>
        <w:pStyle w:val="PargrafodaLista"/>
        <w:numPr>
          <w:ilvl w:val="2"/>
          <w:numId w:val="31"/>
        </w:numPr>
        <w:suppressAutoHyphens w:val="0"/>
        <w:spacing w:line="360" w:lineRule="auto"/>
        <w:contextualSpacing/>
        <w:jc w:val="both"/>
        <w:rPr>
          <w:rFonts w:cs="Times New Roman"/>
          <w:sz w:val="24"/>
          <w:szCs w:val="24"/>
        </w:rPr>
      </w:pPr>
      <w:r w:rsidRPr="00AD59CD">
        <w:rPr>
          <w:rFonts w:cs="Times New Roman"/>
          <w:sz w:val="24"/>
          <w:szCs w:val="24"/>
        </w:rPr>
        <w:t>A Tabela de Níveis de Serviços abaixo será utilizada durante a gestão contratual para observância da qualidade dos serviços prestados, sendo cada um dos níveis de serviço qualificado como uma das ocorrências contratuais estabelecidas pelo item 22.4 deste Termo de Referência.</w:t>
      </w:r>
    </w:p>
    <w:tbl>
      <w:tblPr>
        <w:tblW w:w="679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6316"/>
      </w:tblGrid>
      <w:tr w:rsidR="00AD59CD" w:rsidRPr="00AD59CD" w14:paraId="1B2458D8" w14:textId="77777777" w:rsidTr="0024040C">
        <w:trPr>
          <w:trHeight w:val="360"/>
          <w:jc w:val="center"/>
        </w:trPr>
        <w:tc>
          <w:tcPr>
            <w:tcW w:w="679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C0A8886" w14:textId="77777777" w:rsidR="00AD59CD" w:rsidRPr="00AD59CD" w:rsidRDefault="00AD59CD" w:rsidP="0024040C">
            <w:pPr>
              <w:widowControl/>
              <w:suppressAutoHyphens w:val="0"/>
              <w:jc w:val="center"/>
              <w:rPr>
                <w:rFonts w:cs="Times New Roman"/>
                <w:b/>
                <w:bCs/>
              </w:rPr>
            </w:pPr>
            <w:r w:rsidRPr="00AD59CD">
              <w:rPr>
                <w:rFonts w:cs="Times New Roman"/>
                <w:b/>
                <w:bCs/>
              </w:rPr>
              <w:t>Tabela de Níveis de Serviço </w:t>
            </w:r>
          </w:p>
        </w:tc>
      </w:tr>
      <w:tr w:rsidR="00AD59CD" w:rsidRPr="00AD59CD" w14:paraId="33578A7C" w14:textId="77777777" w:rsidTr="0024040C">
        <w:trPr>
          <w:trHeight w:val="360"/>
          <w:jc w:val="center"/>
        </w:trPr>
        <w:tc>
          <w:tcPr>
            <w:tcW w:w="480" w:type="dxa"/>
            <w:tcBorders>
              <w:top w:val="single" w:sz="4" w:space="0" w:color="auto"/>
              <w:left w:val="single" w:sz="6" w:space="0" w:color="auto"/>
              <w:bottom w:val="single" w:sz="6" w:space="0" w:color="auto"/>
              <w:right w:val="single" w:sz="6" w:space="0" w:color="auto"/>
            </w:tcBorders>
            <w:shd w:val="clear" w:color="auto" w:fill="E6E6E6"/>
            <w:vAlign w:val="center"/>
            <w:hideMark/>
          </w:tcPr>
          <w:p w14:paraId="5C7119FA" w14:textId="77777777" w:rsidR="00AD59CD" w:rsidRPr="00AD59CD" w:rsidRDefault="00AD59CD" w:rsidP="0024040C">
            <w:pPr>
              <w:widowControl/>
              <w:suppressAutoHyphens w:val="0"/>
              <w:jc w:val="center"/>
              <w:rPr>
                <w:rFonts w:cs="Times New Roman"/>
                <w:b/>
                <w:bCs/>
              </w:rPr>
            </w:pPr>
            <w:r w:rsidRPr="00AD59CD">
              <w:rPr>
                <w:rFonts w:cs="Times New Roman"/>
                <w:b/>
                <w:bCs/>
              </w:rPr>
              <w:t>NS </w:t>
            </w:r>
          </w:p>
        </w:tc>
        <w:tc>
          <w:tcPr>
            <w:tcW w:w="6316" w:type="dxa"/>
            <w:tcBorders>
              <w:top w:val="single" w:sz="4" w:space="0" w:color="auto"/>
              <w:left w:val="nil"/>
              <w:bottom w:val="single" w:sz="6" w:space="0" w:color="auto"/>
              <w:right w:val="single" w:sz="6" w:space="0" w:color="auto"/>
            </w:tcBorders>
            <w:shd w:val="clear" w:color="auto" w:fill="E6E6E6"/>
            <w:vAlign w:val="center"/>
            <w:hideMark/>
          </w:tcPr>
          <w:p w14:paraId="79FE7EE8" w14:textId="77777777" w:rsidR="00AD59CD" w:rsidRPr="00AD59CD" w:rsidRDefault="00AD59CD" w:rsidP="0024040C">
            <w:pPr>
              <w:widowControl/>
              <w:suppressAutoHyphens w:val="0"/>
              <w:jc w:val="center"/>
              <w:rPr>
                <w:rFonts w:cs="Times New Roman"/>
                <w:b/>
                <w:bCs/>
              </w:rPr>
            </w:pPr>
            <w:r w:rsidRPr="00AD59CD">
              <w:rPr>
                <w:rFonts w:cs="Times New Roman"/>
                <w:b/>
                <w:bCs/>
              </w:rPr>
              <w:t>Descrição </w:t>
            </w:r>
          </w:p>
        </w:tc>
      </w:tr>
      <w:tr w:rsidR="00AD59CD" w:rsidRPr="00AD59CD" w14:paraId="1D8E39EA" w14:textId="77777777" w:rsidTr="0024040C">
        <w:trPr>
          <w:trHeight w:val="1530"/>
          <w:jc w:val="center"/>
        </w:trPr>
        <w:tc>
          <w:tcPr>
            <w:tcW w:w="480" w:type="dxa"/>
            <w:tcBorders>
              <w:top w:val="nil"/>
              <w:left w:val="single" w:sz="6" w:space="0" w:color="auto"/>
              <w:bottom w:val="single" w:sz="6" w:space="0" w:color="auto"/>
              <w:right w:val="single" w:sz="6" w:space="0" w:color="auto"/>
            </w:tcBorders>
            <w:shd w:val="clear" w:color="auto" w:fill="auto"/>
            <w:vAlign w:val="center"/>
            <w:hideMark/>
          </w:tcPr>
          <w:p w14:paraId="406888CB" w14:textId="77777777" w:rsidR="00AD59CD" w:rsidRPr="00AD59CD" w:rsidRDefault="00AD59CD" w:rsidP="0024040C">
            <w:pPr>
              <w:widowControl/>
              <w:suppressAutoHyphens w:val="0"/>
              <w:jc w:val="center"/>
              <w:rPr>
                <w:rFonts w:cs="Times New Roman"/>
              </w:rPr>
            </w:pPr>
            <w:r w:rsidRPr="00AD59CD">
              <w:rPr>
                <w:rFonts w:cs="Times New Roman"/>
              </w:rPr>
              <w:t>1 </w:t>
            </w:r>
          </w:p>
        </w:tc>
        <w:tc>
          <w:tcPr>
            <w:tcW w:w="6316" w:type="dxa"/>
            <w:tcBorders>
              <w:top w:val="nil"/>
              <w:left w:val="nil"/>
              <w:bottom w:val="single" w:sz="6" w:space="0" w:color="auto"/>
              <w:right w:val="single" w:sz="6" w:space="0" w:color="auto"/>
            </w:tcBorders>
            <w:shd w:val="clear" w:color="auto" w:fill="auto"/>
            <w:vAlign w:val="center"/>
            <w:hideMark/>
          </w:tcPr>
          <w:p w14:paraId="0554B41C" w14:textId="77777777" w:rsidR="00AD59CD" w:rsidRPr="00AD59CD" w:rsidRDefault="00AD59CD" w:rsidP="0024040C">
            <w:pPr>
              <w:widowControl/>
              <w:suppressAutoHyphens w:val="0"/>
              <w:jc w:val="center"/>
              <w:rPr>
                <w:rFonts w:cs="Times New Roman"/>
              </w:rPr>
            </w:pPr>
            <w:r w:rsidRPr="00AD59CD">
              <w:rPr>
                <w:rFonts w:cs="Times New Roman"/>
              </w:rPr>
              <w:t>Não início do atendimento de chamado de prioridade 1 nos prazos estabelecidos no item 6.1.8 deste Termo de Referência</w:t>
            </w:r>
          </w:p>
        </w:tc>
      </w:tr>
      <w:tr w:rsidR="00AD59CD" w:rsidRPr="00AD59CD" w14:paraId="5AB69156" w14:textId="77777777" w:rsidTr="0024040C">
        <w:trPr>
          <w:trHeight w:val="1785"/>
          <w:jc w:val="center"/>
        </w:trPr>
        <w:tc>
          <w:tcPr>
            <w:tcW w:w="480" w:type="dxa"/>
            <w:tcBorders>
              <w:top w:val="nil"/>
              <w:left w:val="single" w:sz="6" w:space="0" w:color="auto"/>
              <w:bottom w:val="single" w:sz="6" w:space="0" w:color="auto"/>
              <w:right w:val="single" w:sz="6" w:space="0" w:color="auto"/>
            </w:tcBorders>
            <w:shd w:val="clear" w:color="auto" w:fill="auto"/>
            <w:vAlign w:val="center"/>
            <w:hideMark/>
          </w:tcPr>
          <w:p w14:paraId="74509222" w14:textId="77777777" w:rsidR="00AD59CD" w:rsidRPr="00AD59CD" w:rsidRDefault="00AD59CD" w:rsidP="0024040C">
            <w:pPr>
              <w:widowControl/>
              <w:suppressAutoHyphens w:val="0"/>
              <w:jc w:val="center"/>
              <w:rPr>
                <w:rFonts w:cs="Times New Roman"/>
              </w:rPr>
            </w:pPr>
            <w:r w:rsidRPr="00AD59CD">
              <w:rPr>
                <w:rFonts w:cs="Times New Roman"/>
              </w:rPr>
              <w:t>2 </w:t>
            </w:r>
          </w:p>
        </w:tc>
        <w:tc>
          <w:tcPr>
            <w:tcW w:w="6316" w:type="dxa"/>
            <w:tcBorders>
              <w:top w:val="nil"/>
              <w:left w:val="nil"/>
              <w:bottom w:val="single" w:sz="6" w:space="0" w:color="auto"/>
              <w:right w:val="single" w:sz="6" w:space="0" w:color="auto"/>
            </w:tcBorders>
            <w:shd w:val="clear" w:color="auto" w:fill="auto"/>
            <w:vAlign w:val="center"/>
            <w:hideMark/>
          </w:tcPr>
          <w:p w14:paraId="5203112B" w14:textId="77777777" w:rsidR="00AD59CD" w:rsidRPr="00AD59CD" w:rsidRDefault="00AD59CD" w:rsidP="0024040C">
            <w:pPr>
              <w:widowControl/>
              <w:suppressAutoHyphens w:val="0"/>
              <w:jc w:val="center"/>
              <w:rPr>
                <w:rFonts w:cs="Times New Roman"/>
              </w:rPr>
            </w:pPr>
            <w:r w:rsidRPr="00AD59CD">
              <w:rPr>
                <w:rFonts w:cs="Times New Roman"/>
              </w:rPr>
              <w:t>Não início do atendimento de chamado de suporte de prioridades 2 e 3 nos prazos estabelecidos no item 6.1.8 deste Termo de Referência</w:t>
            </w:r>
          </w:p>
        </w:tc>
      </w:tr>
      <w:tr w:rsidR="00AD59CD" w:rsidRPr="00AD59CD" w14:paraId="4213C939" w14:textId="77777777" w:rsidTr="0024040C">
        <w:trPr>
          <w:trHeight w:val="1785"/>
          <w:jc w:val="center"/>
        </w:trPr>
        <w:tc>
          <w:tcPr>
            <w:tcW w:w="480" w:type="dxa"/>
            <w:tcBorders>
              <w:top w:val="nil"/>
              <w:left w:val="single" w:sz="6" w:space="0" w:color="auto"/>
              <w:bottom w:val="single" w:sz="6" w:space="0" w:color="auto"/>
              <w:right w:val="single" w:sz="6" w:space="0" w:color="auto"/>
            </w:tcBorders>
            <w:shd w:val="clear" w:color="auto" w:fill="auto"/>
            <w:vAlign w:val="center"/>
            <w:hideMark/>
          </w:tcPr>
          <w:p w14:paraId="28F26D9B" w14:textId="77777777" w:rsidR="00AD59CD" w:rsidRPr="00AD59CD" w:rsidRDefault="00AD59CD" w:rsidP="0024040C">
            <w:pPr>
              <w:widowControl/>
              <w:suppressAutoHyphens w:val="0"/>
              <w:jc w:val="center"/>
              <w:rPr>
                <w:rFonts w:cs="Times New Roman"/>
              </w:rPr>
            </w:pPr>
            <w:r w:rsidRPr="00AD59CD">
              <w:rPr>
                <w:rFonts w:cs="Times New Roman"/>
              </w:rPr>
              <w:lastRenderedPageBreak/>
              <w:t>3 </w:t>
            </w:r>
          </w:p>
        </w:tc>
        <w:tc>
          <w:tcPr>
            <w:tcW w:w="6316" w:type="dxa"/>
            <w:tcBorders>
              <w:top w:val="nil"/>
              <w:left w:val="nil"/>
              <w:bottom w:val="single" w:sz="6" w:space="0" w:color="auto"/>
              <w:right w:val="single" w:sz="6" w:space="0" w:color="auto"/>
            </w:tcBorders>
            <w:shd w:val="clear" w:color="auto" w:fill="auto"/>
            <w:vAlign w:val="center"/>
            <w:hideMark/>
          </w:tcPr>
          <w:p w14:paraId="77639338" w14:textId="77777777" w:rsidR="00AD59CD" w:rsidRPr="00AD59CD" w:rsidRDefault="00AD59CD" w:rsidP="0024040C">
            <w:pPr>
              <w:widowControl/>
              <w:suppressAutoHyphens w:val="0"/>
              <w:jc w:val="center"/>
              <w:rPr>
                <w:rFonts w:cs="Times New Roman"/>
              </w:rPr>
            </w:pPr>
            <w:r w:rsidRPr="00AD59CD">
              <w:rPr>
                <w:rFonts w:cs="Times New Roman"/>
              </w:rPr>
              <w:t>Interrupção no atendimento do chamado sem notificação prévia à CONTRATANTE, conforme item 6.1.11 do Termo de Referência</w:t>
            </w:r>
          </w:p>
        </w:tc>
      </w:tr>
    </w:tbl>
    <w:p w14:paraId="0C1B6F8B" w14:textId="77777777" w:rsidR="00AD59CD" w:rsidRPr="00AD59CD" w:rsidRDefault="00AD59CD" w:rsidP="00AD59CD">
      <w:pPr>
        <w:pStyle w:val="Standard"/>
        <w:spacing w:before="57" w:after="57" w:line="360" w:lineRule="auto"/>
        <w:jc w:val="both"/>
        <w:rPr>
          <w:rFonts w:cs="Times New Roman"/>
          <w:sz w:val="24"/>
          <w:szCs w:val="24"/>
        </w:rPr>
      </w:pPr>
    </w:p>
    <w:p w14:paraId="1392E730" w14:textId="77777777" w:rsidR="00AD59CD" w:rsidRPr="00AD59CD" w:rsidRDefault="00AD59CD" w:rsidP="00A16FF6">
      <w:pPr>
        <w:pStyle w:val="Standard"/>
        <w:widowControl w:val="0"/>
        <w:numPr>
          <w:ilvl w:val="0"/>
          <w:numId w:val="31"/>
        </w:numPr>
        <w:autoSpaceDN w:val="0"/>
        <w:spacing w:before="57" w:after="57" w:line="360" w:lineRule="auto"/>
        <w:jc w:val="both"/>
        <w:rPr>
          <w:rFonts w:cs="Times New Roman"/>
          <w:b/>
          <w:bCs/>
          <w:sz w:val="24"/>
          <w:szCs w:val="24"/>
        </w:rPr>
      </w:pPr>
      <w:r w:rsidRPr="00AD59CD">
        <w:rPr>
          <w:rFonts w:cs="Times New Roman"/>
          <w:b/>
          <w:bCs/>
          <w:sz w:val="24"/>
          <w:szCs w:val="24"/>
        </w:rPr>
        <w:t>DA VIGÊNCIA DO CONTRATO</w:t>
      </w:r>
    </w:p>
    <w:p w14:paraId="05BBDF0D" w14:textId="77777777" w:rsidR="00AD59CD" w:rsidRPr="00AD59CD" w:rsidRDefault="00AD59CD" w:rsidP="00AD59CD">
      <w:pPr>
        <w:pStyle w:val="Standard"/>
        <w:spacing w:before="57" w:after="57" w:line="360" w:lineRule="auto"/>
        <w:ind w:left="360"/>
        <w:jc w:val="both"/>
        <w:rPr>
          <w:rFonts w:cs="Times New Roman"/>
          <w:b/>
          <w:bCs/>
          <w:sz w:val="24"/>
          <w:szCs w:val="24"/>
        </w:rPr>
      </w:pPr>
    </w:p>
    <w:p w14:paraId="1368BB8F" w14:textId="77777777" w:rsidR="00AD59CD" w:rsidRPr="00AD59CD" w:rsidRDefault="00AD59CD" w:rsidP="00A16FF6">
      <w:pPr>
        <w:pStyle w:val="Textbody"/>
        <w:numPr>
          <w:ilvl w:val="1"/>
          <w:numId w:val="31"/>
        </w:numPr>
        <w:tabs>
          <w:tab w:val="left" w:pos="438"/>
        </w:tabs>
        <w:autoSpaceDN w:val="0"/>
        <w:snapToGrid w:val="0"/>
        <w:spacing w:after="0" w:line="360" w:lineRule="auto"/>
        <w:jc w:val="both"/>
        <w:textAlignment w:val="auto"/>
        <w:rPr>
          <w:rFonts w:ascii="Times New Roman" w:hAnsi="Times New Roman" w:cs="Times New Roman"/>
          <w:sz w:val="24"/>
          <w:szCs w:val="24"/>
        </w:rPr>
      </w:pPr>
      <w:r w:rsidRPr="00AD59CD">
        <w:rPr>
          <w:rFonts w:ascii="Times New Roman" w:hAnsi="Times New Roman" w:cs="Times New Roman"/>
          <w:sz w:val="24"/>
          <w:szCs w:val="24"/>
        </w:rPr>
        <w:t>O contrato terá vigência de 38 (trinta e oito) meses, contados a partir da data de sua assinatura, disposto na Seção 12 deste instrumento;</w:t>
      </w:r>
    </w:p>
    <w:p w14:paraId="33F01B84" w14:textId="77777777" w:rsidR="00AD59CD" w:rsidRPr="00AD59CD" w:rsidRDefault="00AD59CD" w:rsidP="00A16FF6">
      <w:pPr>
        <w:pStyle w:val="Textbody"/>
        <w:numPr>
          <w:ilvl w:val="1"/>
          <w:numId w:val="31"/>
        </w:numPr>
        <w:tabs>
          <w:tab w:val="left" w:pos="438"/>
        </w:tabs>
        <w:autoSpaceDN w:val="0"/>
        <w:snapToGrid w:val="0"/>
        <w:spacing w:after="0" w:line="360" w:lineRule="auto"/>
        <w:jc w:val="both"/>
        <w:textAlignment w:val="auto"/>
        <w:rPr>
          <w:rFonts w:ascii="Times New Roman" w:hAnsi="Times New Roman" w:cs="Times New Roman"/>
          <w:sz w:val="24"/>
          <w:szCs w:val="24"/>
        </w:rPr>
      </w:pPr>
      <w:r w:rsidRPr="00AD59CD">
        <w:rPr>
          <w:rFonts w:ascii="Times New Roman" w:hAnsi="Times New Roman" w:cs="Times New Roman"/>
          <w:sz w:val="24"/>
          <w:szCs w:val="24"/>
        </w:rPr>
        <w:t xml:space="preserve"> O prazo de vigência fixado no item 8.1 serve para abrigar – dentre outros - a execução de processos relativos à emissão de ordem de serviço, aceite provisório, aceite definitivo, serviço de subscrição de 36 meses e pagamento;</w:t>
      </w:r>
    </w:p>
    <w:p w14:paraId="1D5C6422" w14:textId="77777777" w:rsidR="00AD59CD" w:rsidRPr="00AD59CD" w:rsidRDefault="00AD59CD" w:rsidP="00A16FF6">
      <w:pPr>
        <w:pStyle w:val="Textbody"/>
        <w:numPr>
          <w:ilvl w:val="1"/>
          <w:numId w:val="31"/>
        </w:numPr>
        <w:tabs>
          <w:tab w:val="left" w:pos="438"/>
        </w:tabs>
        <w:autoSpaceDN w:val="0"/>
        <w:snapToGrid w:val="0"/>
        <w:spacing w:after="0" w:line="360" w:lineRule="auto"/>
        <w:jc w:val="both"/>
        <w:textAlignment w:val="auto"/>
        <w:rPr>
          <w:rFonts w:ascii="Times New Roman" w:hAnsi="Times New Roman" w:cs="Times New Roman"/>
          <w:sz w:val="24"/>
          <w:szCs w:val="24"/>
        </w:rPr>
      </w:pPr>
      <w:r w:rsidRPr="00AD59CD">
        <w:rPr>
          <w:rFonts w:ascii="Times New Roman" w:hAnsi="Times New Roman" w:cs="Times New Roman"/>
          <w:sz w:val="24"/>
          <w:szCs w:val="24"/>
        </w:rPr>
        <w:t>A realização de contrato superior a 12 meses deve-se ao fato de o custo por ano da contratação das subscrições por 36 meses ser menor que o custo da contratação das subscrições por 12 meses, consoante pesquisa de mercado.</w:t>
      </w:r>
    </w:p>
    <w:p w14:paraId="7C7A2345" w14:textId="77777777" w:rsidR="00AD59CD" w:rsidRPr="00AD59CD" w:rsidRDefault="00AD59CD" w:rsidP="00AD59CD">
      <w:pPr>
        <w:pStyle w:val="Textbody"/>
        <w:tabs>
          <w:tab w:val="left" w:pos="438"/>
        </w:tabs>
        <w:snapToGrid w:val="0"/>
        <w:spacing w:after="0" w:line="360" w:lineRule="auto"/>
        <w:ind w:left="792"/>
        <w:jc w:val="both"/>
        <w:textAlignment w:val="auto"/>
        <w:rPr>
          <w:rFonts w:ascii="Times New Roman" w:hAnsi="Times New Roman" w:cs="Times New Roman"/>
          <w:sz w:val="24"/>
          <w:szCs w:val="24"/>
        </w:rPr>
      </w:pPr>
    </w:p>
    <w:p w14:paraId="74A813BC" w14:textId="77777777" w:rsidR="00AD59CD" w:rsidRPr="00AD59CD" w:rsidRDefault="00AD59CD" w:rsidP="00A16FF6">
      <w:pPr>
        <w:pStyle w:val="Textbody"/>
        <w:numPr>
          <w:ilvl w:val="0"/>
          <w:numId w:val="31"/>
        </w:numPr>
        <w:tabs>
          <w:tab w:val="left" w:pos="438"/>
        </w:tabs>
        <w:autoSpaceDN w:val="0"/>
        <w:snapToGrid w:val="0"/>
        <w:spacing w:after="0" w:line="360" w:lineRule="auto"/>
        <w:jc w:val="both"/>
        <w:textAlignment w:val="auto"/>
        <w:rPr>
          <w:rFonts w:ascii="Times New Roman" w:hAnsi="Times New Roman" w:cs="Times New Roman"/>
          <w:b/>
          <w:bCs/>
          <w:sz w:val="24"/>
          <w:szCs w:val="24"/>
        </w:rPr>
      </w:pPr>
      <w:r w:rsidRPr="00AD59CD">
        <w:rPr>
          <w:rFonts w:ascii="Times New Roman" w:hAnsi="Times New Roman" w:cs="Times New Roman"/>
          <w:b/>
          <w:bCs/>
          <w:sz w:val="24"/>
          <w:szCs w:val="24"/>
        </w:rPr>
        <w:t>DAS ALTERAÇÕES DE CONTRATO</w:t>
      </w:r>
    </w:p>
    <w:p w14:paraId="6F0A154B" w14:textId="77777777" w:rsidR="00AD59CD" w:rsidRPr="00AD59CD" w:rsidRDefault="00AD59CD" w:rsidP="00A16FF6">
      <w:pPr>
        <w:pStyle w:val="Textbody"/>
        <w:numPr>
          <w:ilvl w:val="1"/>
          <w:numId w:val="31"/>
        </w:numPr>
        <w:tabs>
          <w:tab w:val="left" w:pos="438"/>
        </w:tabs>
        <w:autoSpaceDN w:val="0"/>
        <w:snapToGrid w:val="0"/>
        <w:spacing w:after="140" w:line="360" w:lineRule="auto"/>
        <w:jc w:val="both"/>
        <w:textAlignment w:val="auto"/>
        <w:rPr>
          <w:rFonts w:ascii="Times New Roman" w:hAnsi="Times New Roman" w:cs="Times New Roman"/>
          <w:sz w:val="24"/>
          <w:szCs w:val="24"/>
        </w:rPr>
      </w:pPr>
      <w:r w:rsidRPr="00AD59CD">
        <w:rPr>
          <w:rFonts w:ascii="Times New Roman" w:hAnsi="Times New Roman" w:cs="Times New Roman"/>
          <w:sz w:val="24"/>
          <w:szCs w:val="24"/>
        </w:rPr>
        <w:t>Eventuais alterações contratuais reger-se-ão pela disciplina do art. 65 da Lei nº 8.666, de 1993.</w:t>
      </w:r>
    </w:p>
    <w:p w14:paraId="70DFE424" w14:textId="77777777" w:rsidR="00AD59CD" w:rsidRPr="00AD59CD" w:rsidRDefault="00AD59CD" w:rsidP="00A16FF6">
      <w:pPr>
        <w:pStyle w:val="Textbody"/>
        <w:numPr>
          <w:ilvl w:val="1"/>
          <w:numId w:val="31"/>
        </w:numPr>
        <w:tabs>
          <w:tab w:val="left" w:pos="438"/>
        </w:tabs>
        <w:autoSpaceDN w:val="0"/>
        <w:snapToGrid w:val="0"/>
        <w:spacing w:after="140" w:line="360" w:lineRule="auto"/>
        <w:jc w:val="both"/>
        <w:textAlignment w:val="auto"/>
        <w:rPr>
          <w:rFonts w:ascii="Times New Roman" w:hAnsi="Times New Roman" w:cs="Times New Roman"/>
          <w:sz w:val="24"/>
          <w:szCs w:val="24"/>
        </w:rPr>
      </w:pPr>
      <w:r w:rsidRPr="00AD59CD">
        <w:rPr>
          <w:rFonts w:ascii="Times New Roman" w:hAnsi="Times New Roman" w:cs="Times New Roman"/>
          <w:sz w:val="24"/>
          <w:szCs w:val="24"/>
        </w:rPr>
        <w:t>A CONTRATADA é obrigada a aceitar, nas mesmas condições contratuais, os acréscimos ou supressões que se fizerem necessários, até o limite de 25% (vinte e cinco por cento) do valor inicial atualizado do contrato.</w:t>
      </w:r>
    </w:p>
    <w:p w14:paraId="584029B2" w14:textId="77777777" w:rsidR="00AD59CD" w:rsidRPr="00AD59CD" w:rsidRDefault="00AD59CD" w:rsidP="00A16FF6">
      <w:pPr>
        <w:pStyle w:val="Textbody"/>
        <w:numPr>
          <w:ilvl w:val="1"/>
          <w:numId w:val="31"/>
        </w:numPr>
        <w:tabs>
          <w:tab w:val="left" w:pos="438"/>
        </w:tabs>
        <w:autoSpaceDN w:val="0"/>
        <w:snapToGrid w:val="0"/>
        <w:spacing w:after="0" w:line="360" w:lineRule="auto"/>
        <w:jc w:val="both"/>
        <w:textAlignment w:val="auto"/>
        <w:rPr>
          <w:rFonts w:ascii="Times New Roman" w:hAnsi="Times New Roman" w:cs="Times New Roman"/>
          <w:sz w:val="24"/>
          <w:szCs w:val="24"/>
        </w:rPr>
      </w:pPr>
      <w:r w:rsidRPr="00AD59CD">
        <w:rPr>
          <w:rFonts w:ascii="Times New Roman" w:hAnsi="Times New Roman" w:cs="Times New Roman"/>
          <w:sz w:val="24"/>
          <w:szCs w:val="24"/>
        </w:rPr>
        <w:t>As supressões resultantes em acordo celebrado entre as partes contratantes poderão exceder o limite de 25% (vinte e cinco por cento) do valor inicial atualizado do contrato.</w:t>
      </w:r>
    </w:p>
    <w:p w14:paraId="308C6BCE" w14:textId="77777777" w:rsidR="00AD59CD" w:rsidRPr="00AD59CD" w:rsidRDefault="00AD59CD" w:rsidP="00A16FF6">
      <w:pPr>
        <w:pStyle w:val="Textbody"/>
        <w:numPr>
          <w:ilvl w:val="1"/>
          <w:numId w:val="31"/>
        </w:numPr>
        <w:tabs>
          <w:tab w:val="left" w:pos="438"/>
        </w:tabs>
        <w:autoSpaceDN w:val="0"/>
        <w:snapToGrid w:val="0"/>
        <w:spacing w:after="0" w:line="360" w:lineRule="auto"/>
        <w:jc w:val="both"/>
        <w:textAlignment w:val="auto"/>
        <w:rPr>
          <w:rFonts w:ascii="Times New Roman" w:hAnsi="Times New Roman" w:cs="Times New Roman"/>
          <w:sz w:val="24"/>
          <w:szCs w:val="24"/>
        </w:rPr>
      </w:pPr>
      <w:r w:rsidRPr="00AD59CD">
        <w:rPr>
          <w:rFonts w:ascii="Times New Roman" w:hAnsi="Times New Roman" w:cs="Times New Roman"/>
          <w:sz w:val="24"/>
          <w:szCs w:val="24"/>
        </w:rPr>
        <w:t>As alterações referidas no item 9 e respectivos subitens são relativos ao aumento ou a supressão dos quantitativos de subscrições.</w:t>
      </w:r>
    </w:p>
    <w:p w14:paraId="16108505" w14:textId="77777777" w:rsidR="00AD59CD" w:rsidRPr="00AD59CD" w:rsidRDefault="00AD59CD" w:rsidP="00AD59CD">
      <w:pPr>
        <w:pStyle w:val="Standard"/>
        <w:spacing w:before="57" w:after="57" w:line="360" w:lineRule="auto"/>
        <w:jc w:val="both"/>
        <w:rPr>
          <w:rFonts w:cs="Times New Roman"/>
          <w:sz w:val="24"/>
          <w:szCs w:val="24"/>
        </w:rPr>
      </w:pPr>
    </w:p>
    <w:p w14:paraId="12CBD9BA" w14:textId="77777777" w:rsidR="00AD59CD" w:rsidRPr="00AD59CD" w:rsidRDefault="00AD59CD" w:rsidP="00A16FF6">
      <w:pPr>
        <w:pStyle w:val="Standard"/>
        <w:widowControl w:val="0"/>
        <w:numPr>
          <w:ilvl w:val="0"/>
          <w:numId w:val="31"/>
        </w:numPr>
        <w:autoSpaceDN w:val="0"/>
        <w:spacing w:before="57" w:after="57" w:line="360" w:lineRule="auto"/>
        <w:jc w:val="both"/>
        <w:rPr>
          <w:rFonts w:cs="Times New Roman"/>
          <w:b/>
          <w:bCs/>
          <w:sz w:val="24"/>
          <w:szCs w:val="24"/>
        </w:rPr>
      </w:pPr>
      <w:r w:rsidRPr="00AD59CD">
        <w:rPr>
          <w:rFonts w:cs="Times New Roman"/>
          <w:b/>
          <w:bCs/>
          <w:sz w:val="24"/>
          <w:szCs w:val="24"/>
        </w:rPr>
        <w:lastRenderedPageBreak/>
        <w:t>ADEQUAÇÃO ORÇAMENTÁRIA</w:t>
      </w:r>
    </w:p>
    <w:p w14:paraId="316C5DEF" w14:textId="77777777" w:rsidR="00AD59CD" w:rsidRPr="00AD59CD" w:rsidRDefault="00AD59CD" w:rsidP="00A16FF6">
      <w:pPr>
        <w:pStyle w:val="PargrafodaLista"/>
        <w:widowControl w:val="0"/>
        <w:numPr>
          <w:ilvl w:val="1"/>
          <w:numId w:val="31"/>
        </w:numPr>
        <w:autoSpaceDN w:val="0"/>
        <w:spacing w:line="360" w:lineRule="auto"/>
        <w:contextualSpacing/>
        <w:jc w:val="both"/>
        <w:rPr>
          <w:rFonts w:cs="Times New Roman"/>
          <w:sz w:val="24"/>
          <w:szCs w:val="24"/>
        </w:rPr>
      </w:pPr>
      <w:r w:rsidRPr="00AD59CD">
        <w:rPr>
          <w:rFonts w:cs="Times New Roman"/>
          <w:sz w:val="24"/>
          <w:szCs w:val="24"/>
        </w:rPr>
        <w:t>Os recursos dessa contratação estão consignados no orçamento da União para 2021 no Programa 03.032.2100.8010.0001, Ação 8010, Fonte 0100, Elemento Contábil 33.90.40-19 para as subscrições.</w:t>
      </w:r>
    </w:p>
    <w:p w14:paraId="255C577E" w14:textId="77777777" w:rsidR="00AD59CD" w:rsidRPr="00AD59CD" w:rsidRDefault="00AD59CD" w:rsidP="00AD59CD">
      <w:pPr>
        <w:pStyle w:val="Standard"/>
        <w:tabs>
          <w:tab w:val="left" w:pos="70"/>
        </w:tabs>
        <w:spacing w:before="57" w:after="57" w:line="360" w:lineRule="auto"/>
        <w:jc w:val="both"/>
        <w:rPr>
          <w:rFonts w:eastAsia="Franklin Gothic Book" w:cs="Times New Roman"/>
          <w:sz w:val="24"/>
          <w:szCs w:val="24"/>
        </w:rPr>
      </w:pPr>
    </w:p>
    <w:p w14:paraId="6295430E" w14:textId="77777777" w:rsidR="00AD59CD" w:rsidRPr="00AD59CD" w:rsidRDefault="00AD59CD" w:rsidP="00A16FF6">
      <w:pPr>
        <w:pStyle w:val="Standard"/>
        <w:widowControl w:val="0"/>
        <w:numPr>
          <w:ilvl w:val="0"/>
          <w:numId w:val="31"/>
        </w:numPr>
        <w:autoSpaceDN w:val="0"/>
        <w:spacing w:before="57" w:after="57" w:line="360" w:lineRule="auto"/>
        <w:jc w:val="both"/>
        <w:rPr>
          <w:rFonts w:eastAsia="Lucida Sans Unicode" w:cs="Times New Roman"/>
          <w:b/>
          <w:bCs/>
          <w:sz w:val="24"/>
          <w:szCs w:val="24"/>
        </w:rPr>
      </w:pPr>
      <w:r w:rsidRPr="00AD59CD">
        <w:rPr>
          <w:rFonts w:eastAsia="Lucida Sans Unicode" w:cs="Times New Roman"/>
          <w:b/>
          <w:bCs/>
          <w:sz w:val="24"/>
          <w:szCs w:val="24"/>
        </w:rPr>
        <w:t>DA QUALIFICAÇÃO TÉCNICA DO FORNECEDOR</w:t>
      </w:r>
    </w:p>
    <w:p w14:paraId="133A5877"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rPr>
      </w:pPr>
      <w:r w:rsidRPr="00AD59CD">
        <w:rPr>
          <w:rFonts w:eastAsia="Lucida Sans Unicode" w:cs="Times New Roman"/>
          <w:sz w:val="24"/>
          <w:szCs w:val="24"/>
        </w:rPr>
        <w:t>A licitante vencedora deve ser credenciada pela fabricante como parceira oficial, bem como ser capaz de comercializar as subscrições contratadas sem qualquer tipo de impedimento;</w:t>
      </w:r>
    </w:p>
    <w:p w14:paraId="406081AE"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rPr>
      </w:pPr>
      <w:r w:rsidRPr="00AD59CD">
        <w:rPr>
          <w:rFonts w:eastAsia="Lucida Sans Unicode" w:cs="Times New Roman"/>
          <w:sz w:val="24"/>
          <w:szCs w:val="24"/>
        </w:rPr>
        <w:t>Por iniciativa própria, o CNMP poderá promover diligências que comprovem a plena relação comercial entre a licitante vencedora e a fabricante da solução.</w:t>
      </w:r>
    </w:p>
    <w:p w14:paraId="515BCFBE" w14:textId="77777777" w:rsidR="00AD59CD" w:rsidRPr="00AD59CD" w:rsidRDefault="00AD59CD" w:rsidP="00A16FF6">
      <w:pPr>
        <w:pStyle w:val="Standard"/>
        <w:widowControl w:val="0"/>
        <w:numPr>
          <w:ilvl w:val="0"/>
          <w:numId w:val="31"/>
        </w:numPr>
        <w:autoSpaceDN w:val="0"/>
        <w:spacing w:before="57" w:after="57" w:line="360" w:lineRule="auto"/>
        <w:jc w:val="both"/>
        <w:rPr>
          <w:rFonts w:eastAsia="Lucida Sans Unicode" w:cs="Times New Roman"/>
          <w:b/>
          <w:bCs/>
          <w:sz w:val="24"/>
          <w:szCs w:val="24"/>
        </w:rPr>
      </w:pPr>
      <w:r w:rsidRPr="00AD59CD">
        <w:rPr>
          <w:rFonts w:eastAsia="Lucida Sans Unicode" w:cs="Times New Roman"/>
          <w:b/>
          <w:bCs/>
          <w:sz w:val="24"/>
          <w:szCs w:val="24"/>
        </w:rPr>
        <w:t>DE ENTREGA E CRITÉRIOS DE ACEITAÇÃO DO OBJETO:</w:t>
      </w:r>
    </w:p>
    <w:p w14:paraId="4A3D9C91" w14:textId="77777777" w:rsidR="00AD59CD" w:rsidRPr="00AD59CD" w:rsidRDefault="00AD59CD" w:rsidP="00A16FF6">
      <w:pPr>
        <w:pStyle w:val="Standard"/>
        <w:widowControl w:val="0"/>
        <w:numPr>
          <w:ilvl w:val="1"/>
          <w:numId w:val="31"/>
        </w:numPr>
        <w:shd w:val="clear" w:color="auto" w:fill="FFFFFF" w:themeFill="background1"/>
        <w:autoSpaceDN w:val="0"/>
        <w:spacing w:before="57" w:after="57" w:line="360" w:lineRule="auto"/>
        <w:jc w:val="both"/>
        <w:rPr>
          <w:rFonts w:eastAsia="Lucida Sans Unicode" w:cs="Times New Roman"/>
          <w:sz w:val="24"/>
          <w:szCs w:val="24"/>
        </w:rPr>
      </w:pPr>
      <w:r w:rsidRPr="00AD59CD">
        <w:rPr>
          <w:rFonts w:eastAsia="Lucida Sans Unicode" w:cs="Times New Roman"/>
          <w:sz w:val="24"/>
          <w:szCs w:val="24"/>
          <w:shd w:val="clear" w:color="auto" w:fill="FFFFFF" w:themeFill="background1"/>
        </w:rPr>
        <w:t>A contratação deverá observar o seguinte cronograma de atividades:</w:t>
      </w:r>
    </w:p>
    <w:p w14:paraId="38AC39C6" w14:textId="77777777" w:rsidR="00AD59CD" w:rsidRPr="00AD59CD" w:rsidRDefault="00AD59CD" w:rsidP="00AD59CD">
      <w:pPr>
        <w:pStyle w:val="Standard"/>
        <w:shd w:val="clear" w:color="auto" w:fill="FFFFFF" w:themeFill="background1"/>
        <w:spacing w:before="57" w:after="57" w:line="360" w:lineRule="auto"/>
        <w:ind w:left="360"/>
        <w:jc w:val="both"/>
        <w:rPr>
          <w:rFonts w:eastAsia="Lucida Sans Unicode" w:cs="Times New Roman"/>
          <w:sz w:val="24"/>
          <w:szCs w:val="24"/>
        </w:rPr>
      </w:pPr>
    </w:p>
    <w:tbl>
      <w:tblPr>
        <w:tblpPr w:leftFromText="141" w:rightFromText="141" w:vertAnchor="text" w:horzAnchor="margin" w:tblpXSpec="center" w:tblpY="92"/>
        <w:tblW w:w="8500" w:type="dxa"/>
        <w:tblCellMar>
          <w:left w:w="70" w:type="dxa"/>
          <w:right w:w="70" w:type="dxa"/>
        </w:tblCellMar>
        <w:tblLook w:val="04A0" w:firstRow="1" w:lastRow="0" w:firstColumn="1" w:lastColumn="0" w:noHBand="0" w:noVBand="1"/>
      </w:tblPr>
      <w:tblGrid>
        <w:gridCol w:w="661"/>
        <w:gridCol w:w="5004"/>
        <w:gridCol w:w="1297"/>
        <w:gridCol w:w="1538"/>
      </w:tblGrid>
      <w:tr w:rsidR="00AD59CD" w:rsidRPr="00AD59CD" w14:paraId="726F6E5A" w14:textId="77777777" w:rsidTr="0024040C">
        <w:trPr>
          <w:trHeight w:val="645"/>
        </w:trPr>
        <w:tc>
          <w:tcPr>
            <w:tcW w:w="8500"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42312544" w14:textId="77777777" w:rsidR="00AD59CD" w:rsidRPr="00AD59CD" w:rsidRDefault="00AD59CD" w:rsidP="0024040C">
            <w:pPr>
              <w:jc w:val="center"/>
              <w:rPr>
                <w:rFonts w:eastAsia="Lucida Sans Unicode" w:cs="Times New Roman"/>
              </w:rPr>
            </w:pPr>
            <w:r w:rsidRPr="00AD59CD">
              <w:rPr>
                <w:rFonts w:eastAsia="Lucida Sans Unicode" w:cs="Times New Roman"/>
              </w:rPr>
              <w:t>Cronograma de Atividades</w:t>
            </w:r>
          </w:p>
        </w:tc>
      </w:tr>
      <w:tr w:rsidR="00AD59CD" w:rsidRPr="00AD59CD" w14:paraId="31100990" w14:textId="77777777" w:rsidTr="0024040C">
        <w:trPr>
          <w:trHeight w:val="375"/>
        </w:trPr>
        <w:tc>
          <w:tcPr>
            <w:tcW w:w="661" w:type="dxa"/>
            <w:tcBorders>
              <w:top w:val="nil"/>
              <w:left w:val="single" w:sz="4" w:space="0" w:color="auto"/>
              <w:bottom w:val="single" w:sz="4" w:space="0" w:color="auto"/>
              <w:right w:val="single" w:sz="4" w:space="0" w:color="auto"/>
            </w:tcBorders>
            <w:shd w:val="clear" w:color="000000" w:fill="E7E6E6"/>
            <w:vAlign w:val="center"/>
            <w:hideMark/>
          </w:tcPr>
          <w:p w14:paraId="37E96BEE" w14:textId="77777777" w:rsidR="00AD59CD" w:rsidRPr="00AD59CD" w:rsidRDefault="00AD59CD" w:rsidP="0024040C">
            <w:pPr>
              <w:jc w:val="center"/>
              <w:rPr>
                <w:rFonts w:eastAsia="Lucida Sans Unicode" w:cs="Times New Roman"/>
              </w:rPr>
            </w:pPr>
            <w:r w:rsidRPr="00AD59CD">
              <w:rPr>
                <w:rFonts w:eastAsia="Lucida Sans Unicode" w:cs="Times New Roman"/>
              </w:rPr>
              <w:t>Item</w:t>
            </w:r>
          </w:p>
        </w:tc>
        <w:tc>
          <w:tcPr>
            <w:tcW w:w="5004" w:type="dxa"/>
            <w:tcBorders>
              <w:top w:val="nil"/>
              <w:left w:val="nil"/>
              <w:bottom w:val="single" w:sz="4" w:space="0" w:color="auto"/>
              <w:right w:val="single" w:sz="4" w:space="0" w:color="auto"/>
            </w:tcBorders>
            <w:shd w:val="clear" w:color="000000" w:fill="E7E6E6"/>
            <w:vAlign w:val="center"/>
            <w:hideMark/>
          </w:tcPr>
          <w:p w14:paraId="10DE5F68" w14:textId="77777777" w:rsidR="00AD59CD" w:rsidRPr="00AD59CD" w:rsidRDefault="00AD59CD" w:rsidP="0024040C">
            <w:pPr>
              <w:jc w:val="center"/>
              <w:rPr>
                <w:rFonts w:eastAsia="Lucida Sans Unicode" w:cs="Times New Roman"/>
              </w:rPr>
            </w:pPr>
            <w:r w:rsidRPr="00AD59CD">
              <w:rPr>
                <w:rFonts w:eastAsia="Lucida Sans Unicode" w:cs="Times New Roman"/>
              </w:rPr>
              <w:t>Descrição</w:t>
            </w:r>
          </w:p>
        </w:tc>
        <w:tc>
          <w:tcPr>
            <w:tcW w:w="1297" w:type="dxa"/>
            <w:tcBorders>
              <w:top w:val="nil"/>
              <w:left w:val="nil"/>
              <w:bottom w:val="single" w:sz="4" w:space="0" w:color="auto"/>
              <w:right w:val="single" w:sz="4" w:space="0" w:color="auto"/>
            </w:tcBorders>
            <w:shd w:val="clear" w:color="000000" w:fill="E7E6E6"/>
            <w:vAlign w:val="center"/>
            <w:hideMark/>
          </w:tcPr>
          <w:p w14:paraId="3DFED95F" w14:textId="77777777" w:rsidR="00AD59CD" w:rsidRPr="00AD59CD" w:rsidRDefault="00AD59CD" w:rsidP="0024040C">
            <w:pPr>
              <w:jc w:val="center"/>
              <w:rPr>
                <w:rFonts w:eastAsia="Lucida Sans Unicode" w:cs="Times New Roman"/>
              </w:rPr>
            </w:pPr>
            <w:r w:rsidRPr="00AD59CD">
              <w:rPr>
                <w:rFonts w:eastAsia="Lucida Sans Unicode" w:cs="Times New Roman"/>
              </w:rPr>
              <w:t>Prazo</w:t>
            </w:r>
          </w:p>
        </w:tc>
        <w:tc>
          <w:tcPr>
            <w:tcW w:w="1538" w:type="dxa"/>
            <w:tcBorders>
              <w:top w:val="nil"/>
              <w:left w:val="nil"/>
              <w:bottom w:val="single" w:sz="4" w:space="0" w:color="auto"/>
              <w:right w:val="single" w:sz="4" w:space="0" w:color="auto"/>
            </w:tcBorders>
            <w:shd w:val="clear" w:color="000000" w:fill="E7E6E6"/>
            <w:vAlign w:val="center"/>
            <w:hideMark/>
          </w:tcPr>
          <w:p w14:paraId="74E5DB03" w14:textId="77777777" w:rsidR="00AD59CD" w:rsidRPr="00AD59CD" w:rsidRDefault="00AD59CD" w:rsidP="0024040C">
            <w:pPr>
              <w:jc w:val="center"/>
              <w:rPr>
                <w:rFonts w:eastAsia="Lucida Sans Unicode" w:cs="Times New Roman"/>
              </w:rPr>
            </w:pPr>
            <w:r w:rsidRPr="00AD59CD">
              <w:rPr>
                <w:rFonts w:eastAsia="Lucida Sans Unicode" w:cs="Times New Roman"/>
              </w:rPr>
              <w:t>Responsável</w:t>
            </w:r>
          </w:p>
        </w:tc>
      </w:tr>
      <w:tr w:rsidR="00AD59CD" w:rsidRPr="00AD59CD" w14:paraId="1396825E" w14:textId="77777777" w:rsidTr="0024040C">
        <w:trPr>
          <w:trHeight w:val="1275"/>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4F4B9C5F" w14:textId="77777777" w:rsidR="00AD59CD" w:rsidRPr="00AD59CD" w:rsidRDefault="00AD59CD" w:rsidP="0024040C">
            <w:pPr>
              <w:jc w:val="center"/>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1</w:t>
            </w:r>
          </w:p>
        </w:tc>
        <w:tc>
          <w:tcPr>
            <w:tcW w:w="5004" w:type="dxa"/>
            <w:tcBorders>
              <w:top w:val="nil"/>
              <w:left w:val="nil"/>
              <w:bottom w:val="single" w:sz="4" w:space="0" w:color="auto"/>
              <w:right w:val="single" w:sz="4" w:space="0" w:color="auto"/>
            </w:tcBorders>
            <w:shd w:val="clear" w:color="auto" w:fill="auto"/>
            <w:vAlign w:val="center"/>
            <w:hideMark/>
          </w:tcPr>
          <w:p w14:paraId="22BAD828" w14:textId="77777777" w:rsidR="00AD59CD" w:rsidRPr="00AD59CD" w:rsidRDefault="00AD59CD" w:rsidP="0024040C">
            <w:pPr>
              <w:jc w:val="both"/>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Em remessa única, entrega de subscrições ao CNMP, contados a partir da confirmação do recebimento da Ordem de Serviço.</w:t>
            </w:r>
            <w:r w:rsidRPr="00AD59CD">
              <w:rPr>
                <w:rFonts w:eastAsia="Lucida Sans Unicode" w:cs="Times New Roman"/>
                <w:shd w:val="clear" w:color="auto" w:fill="FFFFFF" w:themeFill="background1"/>
              </w:rPr>
              <w:br/>
              <w:t xml:space="preserve">O objeto, contendo a titularidade das subscrições, deverá ser entregue, em meio eletrônico, no </w:t>
            </w:r>
            <w:proofErr w:type="spellStart"/>
            <w:r w:rsidRPr="00AD59CD">
              <w:rPr>
                <w:rFonts w:eastAsia="Lucida Sans Unicode" w:cs="Times New Roman"/>
                <w:shd w:val="clear" w:color="auto" w:fill="FFFFFF" w:themeFill="background1"/>
              </w:rPr>
              <w:t>email</w:t>
            </w:r>
            <w:proofErr w:type="spellEnd"/>
            <w:r w:rsidRPr="00AD59CD">
              <w:rPr>
                <w:rFonts w:eastAsia="Lucida Sans Unicode" w:cs="Times New Roman"/>
                <w:shd w:val="clear" w:color="auto" w:fill="FFFFFF" w:themeFill="background1"/>
              </w:rPr>
              <w:t xml:space="preserve"> da Secretaria de Tecnologia da Informação do CNMP – STI/CNMP (sti@cnmp.mp.br)</w:t>
            </w:r>
          </w:p>
        </w:tc>
        <w:tc>
          <w:tcPr>
            <w:tcW w:w="1297" w:type="dxa"/>
            <w:tcBorders>
              <w:top w:val="nil"/>
              <w:left w:val="nil"/>
              <w:bottom w:val="single" w:sz="4" w:space="0" w:color="auto"/>
              <w:right w:val="single" w:sz="4" w:space="0" w:color="auto"/>
            </w:tcBorders>
            <w:shd w:val="clear" w:color="auto" w:fill="auto"/>
            <w:vAlign w:val="center"/>
            <w:hideMark/>
          </w:tcPr>
          <w:p w14:paraId="750342BB" w14:textId="77777777" w:rsidR="00AD59CD" w:rsidRPr="00AD59CD" w:rsidRDefault="00AD59CD" w:rsidP="0024040C">
            <w:pPr>
              <w:jc w:val="center"/>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20</w:t>
            </w:r>
            <w:r w:rsidRPr="00AD59CD">
              <w:rPr>
                <w:rFonts w:eastAsia="Lucida Sans Unicode" w:cs="Times New Roman"/>
                <w:shd w:val="clear" w:color="auto" w:fill="FFFFFF" w:themeFill="background1"/>
              </w:rPr>
              <w:br/>
              <w:t>dias corridos</w:t>
            </w:r>
          </w:p>
        </w:tc>
        <w:tc>
          <w:tcPr>
            <w:tcW w:w="1538" w:type="dxa"/>
            <w:tcBorders>
              <w:top w:val="nil"/>
              <w:left w:val="nil"/>
              <w:bottom w:val="single" w:sz="4" w:space="0" w:color="auto"/>
              <w:right w:val="single" w:sz="4" w:space="0" w:color="auto"/>
            </w:tcBorders>
            <w:shd w:val="clear" w:color="auto" w:fill="auto"/>
            <w:vAlign w:val="center"/>
            <w:hideMark/>
          </w:tcPr>
          <w:p w14:paraId="1923F5B9" w14:textId="77777777" w:rsidR="00AD59CD" w:rsidRPr="00AD59CD" w:rsidRDefault="00AD59CD" w:rsidP="0024040C">
            <w:pPr>
              <w:jc w:val="center"/>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Contratada</w:t>
            </w:r>
          </w:p>
        </w:tc>
      </w:tr>
      <w:tr w:rsidR="00AD59CD" w:rsidRPr="00AD59CD" w14:paraId="025E2633" w14:textId="77777777" w:rsidTr="0024040C">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1014008E" w14:textId="77777777" w:rsidR="00AD59CD" w:rsidRPr="00AD59CD" w:rsidRDefault="00AD59CD" w:rsidP="0024040C">
            <w:pPr>
              <w:jc w:val="center"/>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2</w:t>
            </w:r>
          </w:p>
        </w:tc>
        <w:tc>
          <w:tcPr>
            <w:tcW w:w="5004" w:type="dxa"/>
            <w:tcBorders>
              <w:top w:val="nil"/>
              <w:left w:val="nil"/>
              <w:bottom w:val="single" w:sz="4" w:space="0" w:color="auto"/>
              <w:right w:val="single" w:sz="4" w:space="0" w:color="auto"/>
            </w:tcBorders>
            <w:shd w:val="clear" w:color="auto" w:fill="auto"/>
            <w:vAlign w:val="center"/>
            <w:hideMark/>
          </w:tcPr>
          <w:p w14:paraId="6A660819" w14:textId="77777777" w:rsidR="00AD59CD" w:rsidRPr="00AD59CD" w:rsidRDefault="00AD59CD" w:rsidP="0024040C">
            <w:pPr>
              <w:jc w:val="both"/>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Recebimento provisório por meio da confirmação de recebimento da entrega do objeto à STI/CNMP, para posterior verificação de conformidade</w:t>
            </w:r>
          </w:p>
        </w:tc>
        <w:tc>
          <w:tcPr>
            <w:tcW w:w="1297" w:type="dxa"/>
            <w:tcBorders>
              <w:top w:val="nil"/>
              <w:left w:val="nil"/>
              <w:bottom w:val="single" w:sz="4" w:space="0" w:color="auto"/>
              <w:right w:val="single" w:sz="4" w:space="0" w:color="auto"/>
            </w:tcBorders>
            <w:shd w:val="clear" w:color="auto" w:fill="auto"/>
            <w:vAlign w:val="center"/>
            <w:hideMark/>
          </w:tcPr>
          <w:p w14:paraId="67518FFB" w14:textId="77777777" w:rsidR="00AD59CD" w:rsidRPr="00AD59CD" w:rsidRDefault="00AD59CD" w:rsidP="0024040C">
            <w:pPr>
              <w:jc w:val="center"/>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3</w:t>
            </w:r>
            <w:r w:rsidRPr="00AD59CD">
              <w:rPr>
                <w:rFonts w:eastAsia="Lucida Sans Unicode" w:cs="Times New Roman"/>
                <w:shd w:val="clear" w:color="auto" w:fill="FFFFFF" w:themeFill="background1"/>
              </w:rPr>
              <w:br/>
              <w:t>dias úteis</w:t>
            </w:r>
          </w:p>
        </w:tc>
        <w:tc>
          <w:tcPr>
            <w:tcW w:w="1538" w:type="dxa"/>
            <w:tcBorders>
              <w:top w:val="nil"/>
              <w:left w:val="nil"/>
              <w:bottom w:val="single" w:sz="4" w:space="0" w:color="auto"/>
              <w:right w:val="single" w:sz="4" w:space="0" w:color="auto"/>
            </w:tcBorders>
            <w:shd w:val="clear" w:color="auto" w:fill="auto"/>
            <w:vAlign w:val="center"/>
            <w:hideMark/>
          </w:tcPr>
          <w:p w14:paraId="3F0D7569" w14:textId="77777777" w:rsidR="00AD59CD" w:rsidRPr="00AD59CD" w:rsidRDefault="00AD59CD" w:rsidP="0024040C">
            <w:pPr>
              <w:jc w:val="center"/>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Contratante</w:t>
            </w:r>
          </w:p>
        </w:tc>
      </w:tr>
      <w:tr w:rsidR="00AD59CD" w:rsidRPr="00AD59CD" w14:paraId="586EC0A2" w14:textId="77777777" w:rsidTr="0024040C">
        <w:trPr>
          <w:trHeight w:val="102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70EC18F7" w14:textId="77777777" w:rsidR="00AD59CD" w:rsidRPr="00AD59CD" w:rsidRDefault="00AD59CD" w:rsidP="0024040C">
            <w:pPr>
              <w:jc w:val="center"/>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3</w:t>
            </w:r>
          </w:p>
        </w:tc>
        <w:tc>
          <w:tcPr>
            <w:tcW w:w="5004" w:type="dxa"/>
            <w:tcBorders>
              <w:top w:val="nil"/>
              <w:left w:val="nil"/>
              <w:bottom w:val="single" w:sz="4" w:space="0" w:color="auto"/>
              <w:right w:val="single" w:sz="4" w:space="0" w:color="auto"/>
            </w:tcBorders>
            <w:shd w:val="clear" w:color="auto" w:fill="auto"/>
            <w:vAlign w:val="center"/>
            <w:hideMark/>
          </w:tcPr>
          <w:p w14:paraId="2C869C8B" w14:textId="77777777" w:rsidR="00AD59CD" w:rsidRPr="00AD59CD" w:rsidRDefault="00AD59CD" w:rsidP="0024040C">
            <w:pPr>
              <w:jc w:val="both"/>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Recebimento definitivo, após o recebimento provisório, por comissão de servidores designados, quando constatado que foram entregues de acordo com as condições e as especificações deste Termo de Referência</w:t>
            </w:r>
          </w:p>
        </w:tc>
        <w:tc>
          <w:tcPr>
            <w:tcW w:w="1297" w:type="dxa"/>
            <w:tcBorders>
              <w:top w:val="nil"/>
              <w:left w:val="nil"/>
              <w:bottom w:val="single" w:sz="4" w:space="0" w:color="auto"/>
              <w:right w:val="single" w:sz="4" w:space="0" w:color="auto"/>
            </w:tcBorders>
            <w:shd w:val="clear" w:color="auto" w:fill="auto"/>
            <w:vAlign w:val="center"/>
            <w:hideMark/>
          </w:tcPr>
          <w:p w14:paraId="43303EC3" w14:textId="77777777" w:rsidR="00AD59CD" w:rsidRPr="00AD59CD" w:rsidRDefault="00AD59CD" w:rsidP="0024040C">
            <w:pPr>
              <w:jc w:val="center"/>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10</w:t>
            </w:r>
            <w:r w:rsidRPr="00AD59CD">
              <w:rPr>
                <w:rFonts w:eastAsia="Lucida Sans Unicode" w:cs="Times New Roman"/>
                <w:shd w:val="clear" w:color="auto" w:fill="FFFFFF" w:themeFill="background1"/>
              </w:rPr>
              <w:br/>
              <w:t>dias úteis</w:t>
            </w:r>
          </w:p>
        </w:tc>
        <w:tc>
          <w:tcPr>
            <w:tcW w:w="1538" w:type="dxa"/>
            <w:tcBorders>
              <w:top w:val="nil"/>
              <w:left w:val="nil"/>
              <w:bottom w:val="single" w:sz="4" w:space="0" w:color="auto"/>
              <w:right w:val="single" w:sz="4" w:space="0" w:color="auto"/>
            </w:tcBorders>
            <w:shd w:val="clear" w:color="auto" w:fill="auto"/>
            <w:vAlign w:val="center"/>
            <w:hideMark/>
          </w:tcPr>
          <w:p w14:paraId="2CE49682" w14:textId="77777777" w:rsidR="00AD59CD" w:rsidRPr="00AD59CD" w:rsidRDefault="00AD59CD" w:rsidP="0024040C">
            <w:pPr>
              <w:jc w:val="center"/>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Contratante</w:t>
            </w:r>
          </w:p>
        </w:tc>
      </w:tr>
      <w:tr w:rsidR="00AD59CD" w:rsidRPr="00AD59CD" w14:paraId="53454C80" w14:textId="77777777" w:rsidTr="0024040C">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2BE0E4AA" w14:textId="77777777" w:rsidR="00AD59CD" w:rsidRPr="00AD59CD" w:rsidRDefault="00AD59CD" w:rsidP="0024040C">
            <w:pPr>
              <w:jc w:val="center"/>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4</w:t>
            </w:r>
          </w:p>
        </w:tc>
        <w:tc>
          <w:tcPr>
            <w:tcW w:w="5004" w:type="dxa"/>
            <w:tcBorders>
              <w:top w:val="nil"/>
              <w:left w:val="nil"/>
              <w:bottom w:val="single" w:sz="4" w:space="0" w:color="auto"/>
              <w:right w:val="single" w:sz="4" w:space="0" w:color="auto"/>
            </w:tcBorders>
            <w:shd w:val="clear" w:color="auto" w:fill="auto"/>
            <w:vAlign w:val="center"/>
            <w:hideMark/>
          </w:tcPr>
          <w:p w14:paraId="6DB1111E" w14:textId="77777777" w:rsidR="00AD59CD" w:rsidRPr="00AD59CD" w:rsidRDefault="00AD59CD" w:rsidP="0024040C">
            <w:pPr>
              <w:jc w:val="both"/>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Serviço de subscrições de licenças, contato a partir da emissão Termo de Recebimento Definitivo</w:t>
            </w:r>
          </w:p>
        </w:tc>
        <w:tc>
          <w:tcPr>
            <w:tcW w:w="1297" w:type="dxa"/>
            <w:tcBorders>
              <w:top w:val="nil"/>
              <w:left w:val="nil"/>
              <w:bottom w:val="single" w:sz="4" w:space="0" w:color="auto"/>
              <w:right w:val="single" w:sz="4" w:space="0" w:color="auto"/>
            </w:tcBorders>
            <w:shd w:val="clear" w:color="auto" w:fill="auto"/>
            <w:vAlign w:val="center"/>
            <w:hideMark/>
          </w:tcPr>
          <w:p w14:paraId="3CEA910D" w14:textId="77777777" w:rsidR="00AD59CD" w:rsidRPr="00AD59CD" w:rsidRDefault="00AD59CD" w:rsidP="0024040C">
            <w:pPr>
              <w:jc w:val="center"/>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36</w:t>
            </w:r>
            <w:r w:rsidRPr="00AD59CD">
              <w:rPr>
                <w:rFonts w:eastAsia="Lucida Sans Unicode" w:cs="Times New Roman"/>
                <w:shd w:val="clear" w:color="auto" w:fill="FFFFFF" w:themeFill="background1"/>
              </w:rPr>
              <w:br/>
              <w:t>meses</w:t>
            </w:r>
          </w:p>
        </w:tc>
        <w:tc>
          <w:tcPr>
            <w:tcW w:w="1538" w:type="dxa"/>
            <w:tcBorders>
              <w:top w:val="nil"/>
              <w:left w:val="nil"/>
              <w:bottom w:val="single" w:sz="4" w:space="0" w:color="auto"/>
              <w:right w:val="single" w:sz="4" w:space="0" w:color="auto"/>
            </w:tcBorders>
            <w:shd w:val="clear" w:color="auto" w:fill="auto"/>
            <w:vAlign w:val="center"/>
            <w:hideMark/>
          </w:tcPr>
          <w:p w14:paraId="0DCB81F5" w14:textId="77777777" w:rsidR="00AD59CD" w:rsidRPr="00AD59CD" w:rsidRDefault="00AD59CD" w:rsidP="0024040C">
            <w:pPr>
              <w:jc w:val="center"/>
              <w:rPr>
                <w:rFonts w:eastAsia="Lucida Sans Unicode" w:cs="Times New Roman"/>
                <w:shd w:val="clear" w:color="auto" w:fill="FFFFFF" w:themeFill="background1"/>
              </w:rPr>
            </w:pPr>
            <w:r w:rsidRPr="00AD59CD">
              <w:rPr>
                <w:rFonts w:eastAsia="Lucida Sans Unicode" w:cs="Times New Roman"/>
                <w:shd w:val="clear" w:color="auto" w:fill="FFFFFF" w:themeFill="background1"/>
              </w:rPr>
              <w:t>Contratada</w:t>
            </w:r>
          </w:p>
        </w:tc>
      </w:tr>
    </w:tbl>
    <w:p w14:paraId="2494A2B1" w14:textId="77777777" w:rsidR="00AD59CD" w:rsidRPr="00AD59CD" w:rsidRDefault="00AD59CD" w:rsidP="00AD59CD">
      <w:pPr>
        <w:pStyle w:val="Standard"/>
        <w:shd w:val="clear" w:color="auto" w:fill="FFFFFF" w:themeFill="background1"/>
        <w:spacing w:before="57" w:after="57" w:line="360" w:lineRule="auto"/>
        <w:ind w:left="792"/>
        <w:jc w:val="both"/>
        <w:rPr>
          <w:rFonts w:eastAsia="Lucida Sans Unicode" w:cs="Times New Roman"/>
          <w:sz w:val="24"/>
          <w:szCs w:val="24"/>
        </w:rPr>
      </w:pPr>
    </w:p>
    <w:p w14:paraId="7532321F"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rPr>
      </w:pPr>
      <w:r w:rsidRPr="00AD59CD">
        <w:rPr>
          <w:rFonts w:eastAsia="Lucida Sans Unicode" w:cs="Times New Roman"/>
          <w:sz w:val="24"/>
          <w:szCs w:val="24"/>
        </w:rPr>
        <w:lastRenderedPageBreak/>
        <w:t>Os serviços poderão ser rejeitados, no todo ou em parte, quando em desacordo com as especificações constantes neste Termo de Referência e na proposta, devendo ser reparados, corrigidos ou refeitos no prazo de 15 dias corridos, a contar da notificação da contratada, às suas custas, sem prejuízo da aplicação das penalidades.</w:t>
      </w:r>
    </w:p>
    <w:p w14:paraId="21B9B697" w14:textId="77777777" w:rsidR="00AD59CD" w:rsidRPr="00AD59CD" w:rsidRDefault="00AD59CD" w:rsidP="00A16FF6">
      <w:pPr>
        <w:pStyle w:val="Standard"/>
        <w:numPr>
          <w:ilvl w:val="1"/>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O recebimento provisório ou definitivo do objeto não exclui a responsabilidade da contratada pelos prejuízos resultantes da incorreta execução do contrato.</w:t>
      </w:r>
    </w:p>
    <w:p w14:paraId="6C9E84E9" w14:textId="77777777" w:rsidR="00AD59CD" w:rsidRPr="00AD59CD" w:rsidRDefault="00AD59CD" w:rsidP="00AD59CD">
      <w:pPr>
        <w:pStyle w:val="Standard"/>
        <w:tabs>
          <w:tab w:val="left" w:pos="70"/>
        </w:tabs>
        <w:spacing w:before="57" w:after="57" w:line="360" w:lineRule="auto"/>
        <w:jc w:val="both"/>
        <w:rPr>
          <w:rFonts w:eastAsia="Lucida Sans Unicode" w:cs="Times New Roman"/>
          <w:sz w:val="24"/>
          <w:szCs w:val="24"/>
          <w:lang w:eastAsia="en-US"/>
        </w:rPr>
      </w:pPr>
    </w:p>
    <w:p w14:paraId="185DD87B" w14:textId="77777777" w:rsidR="00AD59CD" w:rsidRPr="00AD59CD" w:rsidRDefault="00AD59CD" w:rsidP="00A16FF6">
      <w:pPr>
        <w:pStyle w:val="Standard"/>
        <w:widowControl w:val="0"/>
        <w:numPr>
          <w:ilvl w:val="0"/>
          <w:numId w:val="31"/>
        </w:numPr>
        <w:autoSpaceDN w:val="0"/>
        <w:spacing w:before="57" w:after="57" w:line="360" w:lineRule="auto"/>
        <w:jc w:val="both"/>
        <w:rPr>
          <w:rFonts w:cs="Times New Roman"/>
          <w:sz w:val="24"/>
          <w:szCs w:val="24"/>
        </w:rPr>
      </w:pPr>
      <w:r w:rsidRPr="00AD59CD">
        <w:rPr>
          <w:rFonts w:cs="Times New Roman"/>
          <w:b/>
          <w:bCs/>
          <w:sz w:val="24"/>
          <w:szCs w:val="24"/>
        </w:rPr>
        <w:t>DO LOCAL E DO PRAZO PARA PRESTAÇÃO DOS SERVIÇOS</w:t>
      </w:r>
    </w:p>
    <w:p w14:paraId="6346A7A5"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Os serviços deverão ser prestados no CNMP – Conselho Nacional do Ministério Público, localizado no SAFS – Setor de Administração Federal Sul – Quadra 02 – Lote 03, Edifício Adail Belmonte, Brasília/DF, CEP 70070-600.</w:t>
      </w:r>
    </w:p>
    <w:p w14:paraId="289A514A"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A prestação dos serviços deverá ser realizada nas condições especificadas neste Termo de Referência.</w:t>
      </w:r>
    </w:p>
    <w:p w14:paraId="432D5062" w14:textId="77777777" w:rsidR="00AD59CD" w:rsidRPr="00AD59CD" w:rsidRDefault="00AD59CD" w:rsidP="00AD59CD">
      <w:pPr>
        <w:pStyle w:val="Standard"/>
        <w:tabs>
          <w:tab w:val="left" w:pos="70"/>
        </w:tabs>
        <w:spacing w:before="57" w:after="57" w:line="360" w:lineRule="auto"/>
        <w:jc w:val="both"/>
        <w:rPr>
          <w:rFonts w:eastAsia="Lucida Sans Unicode" w:cs="Times New Roman"/>
          <w:sz w:val="24"/>
          <w:szCs w:val="24"/>
          <w:lang w:eastAsia="en-US"/>
        </w:rPr>
      </w:pPr>
    </w:p>
    <w:p w14:paraId="3C71AAE6" w14:textId="77777777" w:rsidR="00AD59CD" w:rsidRPr="00AD59CD" w:rsidRDefault="00AD59CD" w:rsidP="00A16FF6">
      <w:pPr>
        <w:pStyle w:val="Ttulo1"/>
        <w:widowControl w:val="0"/>
        <w:numPr>
          <w:ilvl w:val="0"/>
          <w:numId w:val="31"/>
        </w:numPr>
        <w:autoSpaceDN w:val="0"/>
        <w:spacing w:before="57" w:after="57" w:line="360" w:lineRule="auto"/>
        <w:jc w:val="both"/>
        <w:rPr>
          <w:rFonts w:eastAsia="Lucida Sans Unicode" w:cs="Times New Roman"/>
          <w:szCs w:val="24"/>
          <w:lang w:eastAsia="en-US"/>
        </w:rPr>
      </w:pPr>
      <w:r w:rsidRPr="00AD59CD">
        <w:rPr>
          <w:rFonts w:eastAsia="Lucida Sans Unicode" w:cs="Times New Roman"/>
          <w:szCs w:val="24"/>
          <w:lang w:eastAsia="en-US"/>
        </w:rPr>
        <w:t>OBRIGAÇÕES DO CONTRATANTE</w:t>
      </w:r>
    </w:p>
    <w:p w14:paraId="6FB61796" w14:textId="77777777" w:rsidR="00AD59CD" w:rsidRPr="00AD59CD" w:rsidRDefault="00AD59CD" w:rsidP="00AD59CD">
      <w:pPr>
        <w:pStyle w:val="Standard"/>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São obrigações do CONTRATANTE:</w:t>
      </w:r>
    </w:p>
    <w:p w14:paraId="37B3D41F"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Proporcionar as facilidades indispensáveis à boa execução das obrigações contratuais.</w:t>
      </w:r>
    </w:p>
    <w:p w14:paraId="08DD8235"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Receber o objeto no prazo e condições estabelecidas no Edital e seus anexos.</w:t>
      </w:r>
    </w:p>
    <w:p w14:paraId="34D8CFAC"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Verificar minuciosamente, no prazo fixado, a conformidade dos serviços realizados provisoriamente com as especificações constantes do Edital e da proposta, para fins de aceitação e recebimentos.</w:t>
      </w:r>
    </w:p>
    <w:p w14:paraId="7CA3B799"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Comunicar à CONTRATADA, por escrito, sobre imperfeições, falhas ou irregularidades verificadas no serviço realizado, fixando prazo para que seja substituído, reparado ou corrigido.</w:t>
      </w:r>
    </w:p>
    <w:p w14:paraId="2FC758AD"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Efetuar o pagamento à CONTRATADA no valor correspondente ao serviço, no prazo e forma estabelecidos no edital e seus respectivos anexos.</w:t>
      </w:r>
    </w:p>
    <w:p w14:paraId="0DA1B480" w14:textId="77777777" w:rsidR="00AD59CD" w:rsidRPr="00AD59CD" w:rsidRDefault="00AD59CD" w:rsidP="00A16FF6">
      <w:pPr>
        <w:pStyle w:val="Standard"/>
        <w:numPr>
          <w:ilvl w:val="1"/>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lastRenderedPageBreak/>
        <w:t xml:space="preserve">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 </w:t>
      </w:r>
    </w:p>
    <w:p w14:paraId="0F964933" w14:textId="77777777" w:rsidR="00AD59CD" w:rsidRPr="00AD59CD" w:rsidRDefault="00AD59CD" w:rsidP="00A16FF6">
      <w:pPr>
        <w:pStyle w:val="Standard"/>
        <w:numPr>
          <w:ilvl w:val="1"/>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Prestar todas as informações e esclarecimentos pertinentes ao serviço CONTRATADA, que venham a ser solicitadas pelos técnicos da CONTRATADA.</w:t>
      </w:r>
    </w:p>
    <w:p w14:paraId="1382F3EF" w14:textId="77777777" w:rsidR="00AD59CD" w:rsidRPr="00AD59CD" w:rsidRDefault="00AD59CD" w:rsidP="00A16FF6">
      <w:pPr>
        <w:pStyle w:val="Standard"/>
        <w:numPr>
          <w:ilvl w:val="1"/>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Fiscalizar, anotar em registro próprio e notificar à CONTRATADA, por escrito, a ocorrência de eventuais imperfeições no curso de execução do serviço, fixando prazo para a sua correção.</w:t>
      </w:r>
    </w:p>
    <w:p w14:paraId="21D4D977" w14:textId="77777777" w:rsidR="00AD59CD" w:rsidRPr="00AD59CD" w:rsidRDefault="00AD59CD" w:rsidP="00A16FF6">
      <w:pPr>
        <w:pStyle w:val="Standard"/>
        <w:numPr>
          <w:ilvl w:val="1"/>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Aplicar as sanções, conforme previsto no termo de referência</w:t>
      </w:r>
    </w:p>
    <w:p w14:paraId="7DA76233" w14:textId="77777777" w:rsidR="00AD59CD" w:rsidRPr="00AD59CD" w:rsidRDefault="00AD59CD" w:rsidP="00AD59CD">
      <w:pPr>
        <w:pStyle w:val="Standard"/>
        <w:tabs>
          <w:tab w:val="left" w:pos="70"/>
        </w:tabs>
        <w:spacing w:before="57" w:after="57" w:line="360" w:lineRule="auto"/>
        <w:ind w:left="792"/>
        <w:jc w:val="both"/>
        <w:rPr>
          <w:rFonts w:eastAsia="Lucida Sans Unicode" w:cs="Times New Roman"/>
          <w:sz w:val="24"/>
          <w:szCs w:val="24"/>
          <w:lang w:eastAsia="en-US"/>
        </w:rPr>
      </w:pPr>
    </w:p>
    <w:p w14:paraId="196F32AB" w14:textId="77777777" w:rsidR="00AD59CD" w:rsidRPr="00AD59CD" w:rsidRDefault="00AD59CD" w:rsidP="00A16FF6">
      <w:pPr>
        <w:pStyle w:val="Ttulo1"/>
        <w:widowControl w:val="0"/>
        <w:numPr>
          <w:ilvl w:val="0"/>
          <w:numId w:val="31"/>
        </w:numPr>
        <w:autoSpaceDN w:val="0"/>
        <w:spacing w:before="57" w:after="57" w:line="360" w:lineRule="auto"/>
        <w:jc w:val="both"/>
        <w:rPr>
          <w:rFonts w:eastAsia="Lucida Sans Unicode" w:cs="Times New Roman"/>
          <w:szCs w:val="24"/>
          <w:lang w:eastAsia="en-US"/>
        </w:rPr>
      </w:pPr>
      <w:r w:rsidRPr="00AD59CD">
        <w:rPr>
          <w:rFonts w:eastAsia="Lucida Sans Unicode" w:cs="Times New Roman"/>
          <w:szCs w:val="24"/>
          <w:lang w:eastAsia="en-US"/>
        </w:rPr>
        <w:t xml:space="preserve"> OBRIGAÇÕES DA CONTRATADA</w:t>
      </w:r>
    </w:p>
    <w:p w14:paraId="59F79293"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A Contratada deve cumprir todas as obrigações constantes no termo de referência e sua proposta, assumindo como exclusivamente seus os riscos e as despesas decorrentes da boa e perfeita execução do objeto e, ainda:</w:t>
      </w:r>
    </w:p>
    <w:p w14:paraId="09BF040C"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000AF065" w14:textId="77777777" w:rsidR="00AD59CD" w:rsidRPr="00AD59CD" w:rsidRDefault="00AD59CD" w:rsidP="00A16FF6">
      <w:pPr>
        <w:pStyle w:val="Standard"/>
        <w:widowControl w:val="0"/>
        <w:numPr>
          <w:ilvl w:val="1"/>
          <w:numId w:val="31"/>
        </w:numPr>
        <w:tabs>
          <w:tab w:val="left" w:pos="284"/>
        </w:tabs>
        <w:suppressAutoHyphens w:val="0"/>
        <w:autoSpaceDN w:val="0"/>
        <w:spacing w:before="57" w:after="57" w:line="360" w:lineRule="auto"/>
        <w:jc w:val="both"/>
        <w:rPr>
          <w:rFonts w:eastAsia="ZurichBT-Light" w:cs="Times New Roman"/>
          <w:color w:val="000000"/>
          <w:sz w:val="24"/>
          <w:szCs w:val="24"/>
          <w:lang w:eastAsia="en-US"/>
        </w:rPr>
      </w:pPr>
      <w:r w:rsidRPr="00AD59CD">
        <w:rPr>
          <w:rFonts w:eastAsia="ZurichBT-Light" w:cs="Times New Roman"/>
          <w:color w:val="000000"/>
          <w:sz w:val="24"/>
          <w:szCs w:val="24"/>
          <w:lang w:eastAsia="en-US"/>
        </w:rPr>
        <w:t>A CONTRATADA deve relacionar-se com o CONTRATANTE, exclusivamente, por meio dos fiscais e do gestor do contrato, e preferencialmente, por escrito.</w:t>
      </w:r>
    </w:p>
    <w:p w14:paraId="3EB4F05D" w14:textId="77777777" w:rsidR="00AD59CD" w:rsidRPr="00AD59CD" w:rsidRDefault="00AD59CD" w:rsidP="00A16FF6">
      <w:pPr>
        <w:pStyle w:val="Standard"/>
        <w:widowControl w:val="0"/>
        <w:numPr>
          <w:ilvl w:val="1"/>
          <w:numId w:val="31"/>
        </w:numPr>
        <w:tabs>
          <w:tab w:val="left" w:pos="284"/>
        </w:tabs>
        <w:suppressAutoHyphens w:val="0"/>
        <w:autoSpaceDN w:val="0"/>
        <w:spacing w:before="57" w:after="57" w:line="360" w:lineRule="auto"/>
        <w:jc w:val="both"/>
        <w:rPr>
          <w:rFonts w:eastAsia="ZurichBT-Light" w:cs="Times New Roman"/>
          <w:color w:val="000000"/>
          <w:sz w:val="24"/>
          <w:szCs w:val="24"/>
          <w:lang w:eastAsia="en-US"/>
        </w:rPr>
      </w:pPr>
      <w:r w:rsidRPr="00AD59CD">
        <w:rPr>
          <w:rFonts w:eastAsia="ZurichBT-Light" w:cs="Times New Roman"/>
          <w:color w:val="000000"/>
          <w:sz w:val="24"/>
          <w:szCs w:val="24"/>
          <w:lang w:eastAsia="en-US"/>
        </w:rPr>
        <w:t>A CONTRATADA deverá prestar esclarecimentos ao CNMP e sujeitar-se às orientações do gestor do contrato.</w:t>
      </w:r>
    </w:p>
    <w:p w14:paraId="3E75F6EE" w14:textId="77777777" w:rsidR="00AD59CD" w:rsidRPr="00AD59CD" w:rsidRDefault="00AD59CD" w:rsidP="00A16FF6">
      <w:pPr>
        <w:pStyle w:val="Textbody"/>
        <w:widowControl w:val="0"/>
        <w:numPr>
          <w:ilvl w:val="1"/>
          <w:numId w:val="31"/>
        </w:numPr>
        <w:autoSpaceDN w:val="0"/>
        <w:spacing w:before="57" w:after="57" w:line="360" w:lineRule="auto"/>
        <w:jc w:val="both"/>
        <w:rPr>
          <w:rFonts w:ascii="Times New Roman" w:eastAsia="Lucida Sans Unicode" w:hAnsi="Times New Roman" w:cs="Times New Roman"/>
          <w:sz w:val="24"/>
          <w:szCs w:val="24"/>
          <w:lang w:eastAsia="en-US"/>
        </w:rPr>
      </w:pPr>
      <w:r w:rsidRPr="00AD59CD">
        <w:rPr>
          <w:rFonts w:ascii="Times New Roman" w:eastAsia="Lucida Sans Unicode" w:hAnsi="Times New Roman" w:cs="Times New Roman"/>
          <w:sz w:val="24"/>
          <w:szCs w:val="24"/>
          <w:lang w:eastAsia="en-US"/>
        </w:rPr>
        <w:t>A CONTRATADA é obrigada a reparar, corrigir, remover, reconstruir ou substituir, às suas expensas, no total ou em parte, o objeto do contrato em que se verificarem vícios, defeitos, avarias ou incorreções resultantes da execução ou de materiais empregados, no prazo de 15 dias úteis (Art. 69 Lei 8.666/93).</w:t>
      </w:r>
    </w:p>
    <w:p w14:paraId="4E8ED317" w14:textId="77777777" w:rsidR="00AD59CD" w:rsidRPr="00AD59CD" w:rsidRDefault="00AD59CD" w:rsidP="00A16FF6">
      <w:pPr>
        <w:pStyle w:val="Standard"/>
        <w:widowControl w:val="0"/>
        <w:numPr>
          <w:ilvl w:val="1"/>
          <w:numId w:val="31"/>
        </w:numPr>
        <w:tabs>
          <w:tab w:val="left" w:pos="284"/>
        </w:tabs>
        <w:suppressAutoHyphens w:val="0"/>
        <w:autoSpaceDE w:val="0"/>
        <w:autoSpaceDN w:val="0"/>
        <w:spacing w:before="57" w:after="57" w:line="360" w:lineRule="auto"/>
        <w:jc w:val="both"/>
        <w:rPr>
          <w:rFonts w:eastAsia="ZurichBT-Light" w:cs="Times New Roman"/>
          <w:color w:val="000000"/>
          <w:sz w:val="24"/>
          <w:szCs w:val="24"/>
        </w:rPr>
      </w:pPr>
      <w:r w:rsidRPr="00AD59CD">
        <w:rPr>
          <w:rFonts w:eastAsia="ZurichBT-Light" w:cs="Times New Roman"/>
          <w:color w:val="000000"/>
          <w:sz w:val="24"/>
          <w:szCs w:val="24"/>
        </w:rPr>
        <w:t xml:space="preserve">Relatar ao CONTRATANTE, no prazo máximo de 2 dias úteis, irregularidades </w:t>
      </w:r>
      <w:r w:rsidRPr="00AD59CD">
        <w:rPr>
          <w:rFonts w:eastAsia="ZurichBT-Light" w:cs="Times New Roman"/>
          <w:color w:val="000000"/>
          <w:sz w:val="24"/>
          <w:szCs w:val="24"/>
        </w:rPr>
        <w:lastRenderedPageBreak/>
        <w:t>ocorridas que impeçam, alterem ou retardem a execução do contrato, efetuando o registro da ocorrência com todos os dados e circunstâncias necessárias a seu esclarecimento, sem prejuízo da análise da administração e das sanções previstas.</w:t>
      </w:r>
    </w:p>
    <w:p w14:paraId="5844EFE6" w14:textId="77777777" w:rsidR="00AD59CD" w:rsidRPr="00AD59CD" w:rsidRDefault="00AD59CD" w:rsidP="00A16FF6">
      <w:pPr>
        <w:pStyle w:val="Textbody"/>
        <w:widowControl w:val="0"/>
        <w:numPr>
          <w:ilvl w:val="1"/>
          <w:numId w:val="31"/>
        </w:numPr>
        <w:autoSpaceDN w:val="0"/>
        <w:spacing w:before="57" w:after="57" w:line="360" w:lineRule="auto"/>
        <w:jc w:val="both"/>
        <w:rPr>
          <w:rFonts w:ascii="Times New Roman" w:eastAsia="Lucida Sans Unicode" w:hAnsi="Times New Roman" w:cs="Times New Roman"/>
          <w:sz w:val="24"/>
          <w:szCs w:val="24"/>
          <w:lang w:eastAsia="en-US"/>
        </w:rPr>
      </w:pPr>
      <w:r w:rsidRPr="00AD59CD">
        <w:rPr>
          <w:rFonts w:ascii="Times New Roman" w:eastAsia="Lucida Sans Unicode" w:hAnsi="Times New Roman" w:cs="Times New Roman"/>
          <w:sz w:val="24"/>
          <w:szCs w:val="24"/>
          <w:lang w:eastAsia="en-US"/>
        </w:rPr>
        <w:t xml:space="preserve"> Manter, durante toda a execução do contrato, em compatibilidade com as obrigações por ele assumidas, todas as condições de habilitação e qualificação exigidas na licitação (Art. 55, XVIII Lei 8.666/93).</w:t>
      </w:r>
    </w:p>
    <w:p w14:paraId="67B41C86" w14:textId="77777777" w:rsidR="00AD59CD" w:rsidRPr="00AD59CD" w:rsidRDefault="00AD59CD" w:rsidP="00A16FF6">
      <w:pPr>
        <w:pStyle w:val="Textbody"/>
        <w:numPr>
          <w:ilvl w:val="1"/>
          <w:numId w:val="31"/>
        </w:numPr>
        <w:tabs>
          <w:tab w:val="left" w:pos="70"/>
        </w:tabs>
        <w:autoSpaceDN w:val="0"/>
        <w:spacing w:before="57" w:after="57" w:line="360" w:lineRule="auto"/>
        <w:jc w:val="both"/>
        <w:rPr>
          <w:rFonts w:ascii="Times New Roman" w:eastAsia="Lucida Sans Unicode" w:hAnsi="Times New Roman" w:cs="Times New Roman"/>
          <w:sz w:val="24"/>
          <w:szCs w:val="24"/>
          <w:lang w:eastAsia="en-US"/>
        </w:rPr>
      </w:pPr>
      <w:r w:rsidRPr="00AD59CD">
        <w:rPr>
          <w:rFonts w:ascii="Times New Roman" w:eastAsia="Lucida Sans Unicode" w:hAnsi="Times New Roman" w:cs="Times New Roman"/>
          <w:sz w:val="24"/>
          <w:szCs w:val="24"/>
          <w:lang w:eastAsia="en-US"/>
        </w:rPr>
        <w:t>A CONTRATADA é responsável pelos danos causados diretamente à Administração ou a terceiros, decorrentes de sua culpa ou dolo na execução do contrato (Art. 70 Lei 8.666/93).</w:t>
      </w:r>
    </w:p>
    <w:p w14:paraId="03B735F2" w14:textId="77777777" w:rsidR="00AD59CD" w:rsidRPr="00AD59CD" w:rsidRDefault="00AD59CD" w:rsidP="00A16FF6">
      <w:pPr>
        <w:pStyle w:val="Standard"/>
        <w:numPr>
          <w:ilvl w:val="1"/>
          <w:numId w:val="31"/>
        </w:numPr>
        <w:tabs>
          <w:tab w:val="left" w:pos="284"/>
        </w:tabs>
        <w:suppressAutoHyphens w:val="0"/>
        <w:autoSpaceDN w:val="0"/>
        <w:spacing w:before="57" w:after="57" w:line="360" w:lineRule="auto"/>
        <w:jc w:val="both"/>
        <w:rPr>
          <w:rFonts w:eastAsia="ZurichBT-Light" w:cs="Times New Roman"/>
          <w:color w:val="000000"/>
          <w:sz w:val="24"/>
          <w:szCs w:val="24"/>
          <w:lang w:eastAsia="en-US"/>
        </w:rPr>
      </w:pPr>
      <w:r w:rsidRPr="00AD59CD">
        <w:rPr>
          <w:rFonts w:eastAsia="ZurichBT-Light" w:cs="Times New Roman"/>
          <w:color w:val="000000"/>
          <w:sz w:val="24"/>
          <w:szCs w:val="24"/>
          <w:lang w:eastAsia="en-US"/>
        </w:rPr>
        <w:t>A CONTRATADA deve zelar pelas instalações do CONTRATANTE.</w:t>
      </w:r>
    </w:p>
    <w:p w14:paraId="269D42A8" w14:textId="77777777" w:rsidR="00AD59CD" w:rsidRPr="00AD59CD" w:rsidRDefault="00AD59CD" w:rsidP="00A16FF6">
      <w:pPr>
        <w:pStyle w:val="Standard"/>
        <w:numPr>
          <w:ilvl w:val="1"/>
          <w:numId w:val="31"/>
        </w:numPr>
        <w:tabs>
          <w:tab w:val="left" w:pos="426"/>
        </w:tabs>
        <w:suppressAutoHyphens w:val="0"/>
        <w:autoSpaceDN w:val="0"/>
        <w:spacing w:before="57" w:after="57" w:line="360" w:lineRule="auto"/>
        <w:jc w:val="both"/>
        <w:rPr>
          <w:rFonts w:eastAsia="Arial, Arial" w:cs="Times New Roman"/>
          <w:color w:val="000000"/>
          <w:sz w:val="24"/>
          <w:szCs w:val="24"/>
        </w:rPr>
      </w:pPr>
      <w:r w:rsidRPr="00AD59CD">
        <w:rPr>
          <w:rFonts w:eastAsia="Arial, Arial" w:cs="Times New Roman"/>
          <w:color w:val="000000"/>
          <w:sz w:val="24"/>
          <w:szCs w:val="24"/>
        </w:rPr>
        <w:t>A CONTRATADA é obrigada a disponibilizar e manter atualizados conta de e-mail, endereço e telefones comerciais para fins de comunicação formal entre as partes.</w:t>
      </w:r>
    </w:p>
    <w:p w14:paraId="7A12F447" w14:textId="77777777" w:rsidR="00AD59CD" w:rsidRPr="00AD59CD" w:rsidRDefault="00AD59CD" w:rsidP="00A16FF6">
      <w:pPr>
        <w:pStyle w:val="Standard"/>
        <w:numPr>
          <w:ilvl w:val="1"/>
          <w:numId w:val="31"/>
        </w:numPr>
        <w:tabs>
          <w:tab w:val="left" w:pos="284"/>
        </w:tabs>
        <w:suppressAutoHyphens w:val="0"/>
        <w:autoSpaceDE w:val="0"/>
        <w:autoSpaceDN w:val="0"/>
        <w:spacing w:before="57" w:after="57" w:line="360" w:lineRule="auto"/>
        <w:jc w:val="both"/>
        <w:rPr>
          <w:rFonts w:eastAsia="Arial, Arial" w:cs="Times New Roman"/>
          <w:color w:val="000000"/>
          <w:sz w:val="24"/>
          <w:szCs w:val="24"/>
        </w:rPr>
      </w:pPr>
      <w:r w:rsidRPr="00AD59CD">
        <w:rPr>
          <w:rFonts w:eastAsia="Arial, Arial" w:cs="Times New Roman"/>
          <w:color w:val="000000"/>
          <w:sz w:val="24"/>
          <w:szCs w:val="24"/>
        </w:rPr>
        <w:t>Resguardar que seus funcionários cumpram as normas internas do CONTRATANTE e impedir que os que cometerem faltas a partir da classificação de natureza grave continuem na prestação dos serviços.</w:t>
      </w:r>
    </w:p>
    <w:p w14:paraId="44325269" w14:textId="77777777" w:rsidR="00AD59CD" w:rsidRPr="00AD59CD" w:rsidRDefault="00AD59CD" w:rsidP="00A16FF6">
      <w:pPr>
        <w:pStyle w:val="Textbody"/>
        <w:numPr>
          <w:ilvl w:val="1"/>
          <w:numId w:val="31"/>
        </w:numPr>
        <w:tabs>
          <w:tab w:val="left" w:pos="70"/>
        </w:tabs>
        <w:autoSpaceDN w:val="0"/>
        <w:spacing w:before="57" w:after="57" w:line="360" w:lineRule="auto"/>
        <w:jc w:val="both"/>
        <w:rPr>
          <w:rFonts w:ascii="Times New Roman" w:eastAsia="Lucida Sans Unicode" w:hAnsi="Times New Roman" w:cs="Times New Roman"/>
          <w:sz w:val="24"/>
          <w:szCs w:val="24"/>
          <w:lang w:eastAsia="en-US"/>
        </w:rPr>
      </w:pPr>
      <w:r w:rsidRPr="00AD59CD">
        <w:rPr>
          <w:rFonts w:ascii="Times New Roman" w:eastAsia="Lucida Sans Unicode" w:hAnsi="Times New Roman" w:cs="Times New Roman"/>
          <w:sz w:val="24"/>
          <w:szCs w:val="24"/>
          <w:lang w:eastAsia="en-US"/>
        </w:rPr>
        <w:t>É vedado à CONTRATADA caucionar ou utilizar o contrato para quaisquer operações financeiras.</w:t>
      </w:r>
    </w:p>
    <w:p w14:paraId="5990617B" w14:textId="77777777" w:rsidR="00AD59CD" w:rsidRPr="00AD59CD" w:rsidRDefault="00AD59CD" w:rsidP="00A16FF6">
      <w:pPr>
        <w:pStyle w:val="Textbody"/>
        <w:numPr>
          <w:ilvl w:val="1"/>
          <w:numId w:val="31"/>
        </w:numPr>
        <w:tabs>
          <w:tab w:val="left" w:pos="70"/>
        </w:tabs>
        <w:suppressAutoHyphens w:val="0"/>
        <w:autoSpaceDE w:val="0"/>
        <w:autoSpaceDN w:val="0"/>
        <w:spacing w:before="57" w:after="57" w:line="360" w:lineRule="auto"/>
        <w:jc w:val="both"/>
        <w:rPr>
          <w:rFonts w:ascii="Times New Roman" w:eastAsia="Lucida Sans Unicode" w:hAnsi="Times New Roman" w:cs="Times New Roman"/>
          <w:sz w:val="24"/>
          <w:szCs w:val="24"/>
          <w:lang w:eastAsia="en-US"/>
        </w:rPr>
      </w:pPr>
      <w:r w:rsidRPr="00AD59CD">
        <w:rPr>
          <w:rFonts w:ascii="Times New Roman" w:eastAsia="Lucida Sans Unicode" w:hAnsi="Times New Roman" w:cs="Times New Roman"/>
          <w:sz w:val="24"/>
          <w:szCs w:val="24"/>
          <w:lang w:eastAsia="en-US"/>
        </w:rPr>
        <w:t xml:space="preserve">É vedado à CONTRATADA </w:t>
      </w:r>
      <w:r w:rsidRPr="00AD59CD">
        <w:rPr>
          <w:rFonts w:ascii="Times New Roman" w:eastAsia="Lucida Sans Unicode" w:hAnsi="Times New Roman" w:cs="Times New Roman"/>
          <w:color w:val="000000"/>
          <w:sz w:val="24"/>
          <w:szCs w:val="24"/>
        </w:rPr>
        <w:t>utilizar o nome do CONTRATANTE, ou sua qualidade de CONTRATADA, em quaisquer atividades de divulgação empresarial, como, por exemplo, em cartões de visita, anúncios e impressos.</w:t>
      </w:r>
    </w:p>
    <w:p w14:paraId="12F895A3" w14:textId="77777777" w:rsidR="00AD59CD" w:rsidRPr="00AD59CD" w:rsidRDefault="00AD59CD" w:rsidP="00A16FF6">
      <w:pPr>
        <w:pStyle w:val="Standard"/>
        <w:numPr>
          <w:ilvl w:val="1"/>
          <w:numId w:val="31"/>
        </w:numPr>
        <w:tabs>
          <w:tab w:val="left" w:pos="284"/>
        </w:tabs>
        <w:suppressAutoHyphens w:val="0"/>
        <w:autoSpaceDE w:val="0"/>
        <w:autoSpaceDN w:val="0"/>
        <w:spacing w:before="57" w:after="57" w:line="360" w:lineRule="auto"/>
        <w:jc w:val="both"/>
        <w:rPr>
          <w:rFonts w:eastAsia="Arial, Arial" w:cs="Times New Roman"/>
          <w:color w:val="000000"/>
          <w:sz w:val="24"/>
          <w:szCs w:val="24"/>
        </w:rPr>
      </w:pPr>
      <w:r w:rsidRPr="00AD59CD">
        <w:rPr>
          <w:rFonts w:eastAsia="Arial, Arial" w:cs="Times New Roman"/>
          <w:color w:val="000000"/>
          <w:sz w:val="24"/>
          <w:szCs w:val="24"/>
        </w:rPr>
        <w:t xml:space="preserve">É vedado à CONTRATADA </w:t>
      </w:r>
      <w:r w:rsidRPr="00AD59CD">
        <w:rPr>
          <w:rFonts w:eastAsia="ZurichBT-Light" w:cs="Times New Roman"/>
          <w:color w:val="000000"/>
          <w:sz w:val="24"/>
          <w:szCs w:val="24"/>
        </w:rPr>
        <w:t>r</w:t>
      </w:r>
      <w:r w:rsidRPr="00AD59CD">
        <w:rPr>
          <w:rFonts w:eastAsia="Lucida Sans Unicode" w:cs="Times New Roman"/>
          <w:color w:val="000000"/>
          <w:sz w:val="24"/>
          <w:szCs w:val="24"/>
        </w:rPr>
        <w:t>eproduzir, divulgar ou utilizar, em benefício próprio ou de terceiros, quaisquer informações de que tenha tomado ciência em razão da execução dos serviços sem o consentimento prévio e por escrito do CONTRATANTE.</w:t>
      </w:r>
    </w:p>
    <w:p w14:paraId="65913B8B" w14:textId="77777777" w:rsidR="00AD59CD" w:rsidRPr="00AD59CD" w:rsidRDefault="00AD59CD" w:rsidP="00A16FF6">
      <w:pPr>
        <w:pStyle w:val="Standard"/>
        <w:numPr>
          <w:ilvl w:val="0"/>
          <w:numId w:val="31"/>
        </w:numPr>
        <w:tabs>
          <w:tab w:val="left" w:pos="284"/>
        </w:tabs>
        <w:suppressAutoHyphens w:val="0"/>
        <w:autoSpaceDE w:val="0"/>
        <w:autoSpaceDN w:val="0"/>
        <w:spacing w:before="57" w:after="57" w:line="360" w:lineRule="auto"/>
        <w:jc w:val="both"/>
        <w:rPr>
          <w:rFonts w:eastAsia="Arial, Arial" w:cs="Times New Roman"/>
          <w:b/>
          <w:bCs/>
          <w:color w:val="000000"/>
          <w:sz w:val="24"/>
          <w:szCs w:val="24"/>
        </w:rPr>
      </w:pPr>
      <w:r w:rsidRPr="00AD59CD">
        <w:rPr>
          <w:rFonts w:eastAsia="Arial, Arial" w:cs="Times New Roman"/>
          <w:b/>
          <w:bCs/>
          <w:color w:val="000000"/>
          <w:sz w:val="24"/>
          <w:szCs w:val="24"/>
        </w:rPr>
        <w:t>DA SUBCONTRATAÇÃO</w:t>
      </w:r>
    </w:p>
    <w:p w14:paraId="0FA63F95"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 xml:space="preserve"> Não será admitida a subcontratação do objeto licitatório.</w:t>
      </w:r>
    </w:p>
    <w:p w14:paraId="77E1E2CF" w14:textId="797BEBB5" w:rsidR="00AD59CD" w:rsidRDefault="00AD59CD" w:rsidP="00A16FF6">
      <w:pPr>
        <w:pStyle w:val="Standard"/>
        <w:numPr>
          <w:ilvl w:val="1"/>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É vedada a sub-rogação completa ou da parcela principal da obrigação.</w:t>
      </w:r>
    </w:p>
    <w:p w14:paraId="220E88B3" w14:textId="229EFDF1" w:rsidR="00564C1D" w:rsidRDefault="00564C1D" w:rsidP="00564C1D">
      <w:pPr>
        <w:pStyle w:val="Standard"/>
        <w:tabs>
          <w:tab w:val="left" w:pos="70"/>
        </w:tabs>
        <w:autoSpaceDN w:val="0"/>
        <w:spacing w:before="57" w:after="57" w:line="360" w:lineRule="auto"/>
        <w:ind w:left="792"/>
        <w:jc w:val="both"/>
        <w:rPr>
          <w:rFonts w:eastAsia="Lucida Sans Unicode" w:cs="Times New Roman"/>
          <w:sz w:val="24"/>
          <w:szCs w:val="24"/>
          <w:lang w:eastAsia="en-US"/>
        </w:rPr>
      </w:pPr>
    </w:p>
    <w:p w14:paraId="4880C1E5" w14:textId="77777777" w:rsidR="00564C1D" w:rsidRPr="00AD59CD" w:rsidRDefault="00564C1D" w:rsidP="00564C1D">
      <w:pPr>
        <w:pStyle w:val="Standard"/>
        <w:tabs>
          <w:tab w:val="left" w:pos="70"/>
        </w:tabs>
        <w:autoSpaceDN w:val="0"/>
        <w:spacing w:before="57" w:after="57" w:line="360" w:lineRule="auto"/>
        <w:ind w:left="792"/>
        <w:jc w:val="both"/>
        <w:rPr>
          <w:rFonts w:eastAsia="Lucida Sans Unicode" w:cs="Times New Roman"/>
          <w:sz w:val="24"/>
          <w:szCs w:val="24"/>
          <w:lang w:eastAsia="en-US"/>
        </w:rPr>
      </w:pPr>
    </w:p>
    <w:p w14:paraId="2FC71B6F" w14:textId="77777777" w:rsidR="00AD59CD" w:rsidRPr="00AD59CD" w:rsidRDefault="00AD59CD" w:rsidP="00A16FF6">
      <w:pPr>
        <w:pStyle w:val="Standard"/>
        <w:widowControl w:val="0"/>
        <w:numPr>
          <w:ilvl w:val="0"/>
          <w:numId w:val="31"/>
        </w:numPr>
        <w:autoSpaceDN w:val="0"/>
        <w:spacing w:before="57" w:after="57" w:line="360" w:lineRule="auto"/>
        <w:jc w:val="both"/>
        <w:rPr>
          <w:rFonts w:cs="Times New Roman"/>
          <w:b/>
          <w:bCs/>
          <w:sz w:val="24"/>
          <w:szCs w:val="24"/>
        </w:rPr>
      </w:pPr>
      <w:r w:rsidRPr="00AD59CD">
        <w:rPr>
          <w:rFonts w:cs="Times New Roman"/>
          <w:b/>
          <w:bCs/>
          <w:sz w:val="24"/>
          <w:szCs w:val="24"/>
        </w:rPr>
        <w:lastRenderedPageBreak/>
        <w:t>CRITÉRIOS PARA JULGAMENTO DAS PROPOSTAS</w:t>
      </w:r>
    </w:p>
    <w:p w14:paraId="04742B19"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A proposta apresentada deverá conter o CNPJ da proponente, prazo de validade mínimo de 60 (sessenta) dias e ser endereçada ao Conselho Nacional do Ministério Público – CNMP;</w:t>
      </w:r>
    </w:p>
    <w:p w14:paraId="77A61347"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O julgamento das propostas se dará pelo menor preço por lote;</w:t>
      </w:r>
    </w:p>
    <w:p w14:paraId="393E89A6" w14:textId="3BD32EC5" w:rsid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Nos preços da proposta deverão estar inclusos todas as despesas e custos diretos e indiretos, como impostos, taxas e fretes;</w:t>
      </w:r>
    </w:p>
    <w:p w14:paraId="001B2606" w14:textId="77777777" w:rsidR="00AD59CD" w:rsidRPr="00AD59CD" w:rsidRDefault="00AD59CD" w:rsidP="00A16FF6">
      <w:pPr>
        <w:pStyle w:val="Ttulo1"/>
        <w:widowControl w:val="0"/>
        <w:numPr>
          <w:ilvl w:val="0"/>
          <w:numId w:val="31"/>
        </w:numPr>
        <w:autoSpaceDN w:val="0"/>
        <w:spacing w:before="240"/>
        <w:rPr>
          <w:rFonts w:cs="Times New Roman"/>
          <w:szCs w:val="24"/>
          <w:lang w:eastAsia="en-US"/>
        </w:rPr>
      </w:pPr>
      <w:r w:rsidRPr="00AD59CD">
        <w:rPr>
          <w:rFonts w:cs="Times New Roman"/>
          <w:szCs w:val="24"/>
          <w:lang w:eastAsia="en-US"/>
        </w:rPr>
        <w:t>ALTERAÇÃO SUBJETIVA</w:t>
      </w:r>
    </w:p>
    <w:p w14:paraId="2C8E566C"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B964772" w14:textId="77777777" w:rsidR="00AD59CD" w:rsidRPr="00AD59CD" w:rsidRDefault="00AD59CD" w:rsidP="00AD59CD">
      <w:pPr>
        <w:pStyle w:val="Standard"/>
        <w:spacing w:before="57" w:after="57" w:line="360" w:lineRule="auto"/>
        <w:ind w:left="792"/>
        <w:jc w:val="both"/>
        <w:rPr>
          <w:rFonts w:eastAsia="Lucida Sans Unicode" w:cs="Times New Roman"/>
          <w:sz w:val="24"/>
          <w:szCs w:val="24"/>
          <w:lang w:eastAsia="en-US"/>
        </w:rPr>
      </w:pPr>
    </w:p>
    <w:p w14:paraId="7F3FE34F" w14:textId="77777777" w:rsidR="00AD59CD" w:rsidRPr="00AD59CD" w:rsidRDefault="00AD59CD" w:rsidP="00A16FF6">
      <w:pPr>
        <w:pStyle w:val="Standard"/>
        <w:widowControl w:val="0"/>
        <w:numPr>
          <w:ilvl w:val="0"/>
          <w:numId w:val="31"/>
        </w:numPr>
        <w:autoSpaceDN w:val="0"/>
        <w:spacing w:before="57" w:after="57" w:line="360" w:lineRule="auto"/>
        <w:jc w:val="both"/>
        <w:rPr>
          <w:rFonts w:eastAsia="Lucida Sans Unicode" w:cs="Times New Roman"/>
          <w:b/>
          <w:bCs/>
          <w:sz w:val="24"/>
          <w:szCs w:val="24"/>
          <w:lang w:eastAsia="en-US"/>
        </w:rPr>
      </w:pPr>
      <w:r w:rsidRPr="00AD59CD">
        <w:rPr>
          <w:rFonts w:eastAsia="Lucida Sans Unicode" w:cs="Times New Roman"/>
          <w:b/>
          <w:bCs/>
          <w:sz w:val="24"/>
          <w:szCs w:val="24"/>
          <w:lang w:eastAsia="en-US"/>
        </w:rPr>
        <w:t>CONTROLE DA EXECUÇÃO</w:t>
      </w:r>
    </w:p>
    <w:p w14:paraId="51005A7D"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Nos termos do art. 67 Lei nº 8.666, de 1993, será designado representante para acompanhar e fiscalizar a realização dos serviços da manutenção/atualização e subscrição da solução de Visualização de Dados - Tableau, anotando em registro próprio todas as ocorrências relacionadas com a execução e determinando o que for necessário à regularização de falhas ou defeitos observados.</w:t>
      </w:r>
    </w:p>
    <w:p w14:paraId="159C52F1"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As decisões e providências que ultrapassarem a competência do representante deverão ser solicitadas ao seu gestor, em tempo hábil para adoção das medidas convenientes (Art. 67, §2º Lei 8.666/93).</w:t>
      </w:r>
    </w:p>
    <w:p w14:paraId="29269FC0" w14:textId="77777777" w:rsidR="00AD59CD" w:rsidRPr="00AD59CD" w:rsidRDefault="00AD59CD" w:rsidP="00A16FF6">
      <w:pPr>
        <w:pStyle w:val="Standard"/>
        <w:widowControl w:val="0"/>
        <w:numPr>
          <w:ilvl w:val="1"/>
          <w:numId w:val="31"/>
        </w:numPr>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O contrato Assinado ou a ordem de serviço acompanhada da Nota de Empenho constituirão documentos de autorização para a execução dos serviços.</w:t>
      </w:r>
    </w:p>
    <w:p w14:paraId="49CB4511" w14:textId="77777777" w:rsidR="00AD59CD" w:rsidRPr="00AD59CD" w:rsidRDefault="00AD59CD" w:rsidP="00A16FF6">
      <w:pPr>
        <w:pStyle w:val="Standard"/>
        <w:numPr>
          <w:ilvl w:val="1"/>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w:t>
      </w:r>
      <w:r w:rsidRPr="00AD59CD">
        <w:rPr>
          <w:rFonts w:eastAsia="Lucida Sans Unicode" w:cs="Times New Roman"/>
          <w:sz w:val="24"/>
          <w:szCs w:val="24"/>
          <w:lang w:eastAsia="en-US"/>
        </w:rPr>
        <w:lastRenderedPageBreak/>
        <w:t>das falhas ou defeitos observados e encaminhando os apontamentos à autoridade competente para as providências cabíveis.</w:t>
      </w:r>
    </w:p>
    <w:p w14:paraId="16257F7C"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O Conselho Nacional do Ministério Público, poderá rejeitar, no todo ou em parte, se em desacordo com o Termo de Referência.</w:t>
      </w:r>
    </w:p>
    <w:p w14:paraId="37987783" w14:textId="77777777" w:rsidR="00AD59CD" w:rsidRPr="00AD59CD" w:rsidRDefault="00AD59CD" w:rsidP="00A16FF6">
      <w:pPr>
        <w:pStyle w:val="Standard"/>
        <w:numPr>
          <w:ilvl w:val="1"/>
          <w:numId w:val="31"/>
        </w:numPr>
        <w:tabs>
          <w:tab w:val="left" w:pos="70"/>
        </w:tabs>
        <w:autoSpaceDN w:val="0"/>
        <w:spacing w:before="57" w:after="57" w:line="360" w:lineRule="auto"/>
        <w:jc w:val="both"/>
        <w:rPr>
          <w:rFonts w:cs="Times New Roman"/>
          <w:sz w:val="24"/>
          <w:szCs w:val="24"/>
        </w:rPr>
      </w:pPr>
      <w:r w:rsidRPr="00AD59CD">
        <w:rPr>
          <w:rFonts w:eastAsia="Lucida Sans Unicode" w:cs="Times New Roman"/>
          <w:sz w:val="24"/>
          <w:szCs w:val="24"/>
          <w:lang w:eastAsia="en-US"/>
        </w:rPr>
        <w:t>Quaisquer exigências da Fiscalização, inerentes ao Objeto da presente contratação, deverão ser prontamente atendidas pela Contratada.</w:t>
      </w:r>
    </w:p>
    <w:p w14:paraId="6F2DB0A8" w14:textId="77777777" w:rsidR="00AD59CD" w:rsidRPr="00AD59CD" w:rsidRDefault="00AD59CD" w:rsidP="00AD59CD">
      <w:pPr>
        <w:pStyle w:val="Standard"/>
        <w:tabs>
          <w:tab w:val="left" w:pos="70"/>
        </w:tabs>
        <w:spacing w:before="57" w:after="57" w:line="360" w:lineRule="auto"/>
        <w:jc w:val="both"/>
        <w:rPr>
          <w:rFonts w:eastAsia="Lucida Sans Unicode" w:cs="Times New Roman"/>
          <w:sz w:val="24"/>
          <w:szCs w:val="24"/>
          <w:shd w:val="clear" w:color="auto" w:fill="FFFF00"/>
          <w:lang w:eastAsia="en-US"/>
        </w:rPr>
      </w:pPr>
    </w:p>
    <w:p w14:paraId="46DF1597" w14:textId="77777777" w:rsidR="00AD59CD" w:rsidRPr="00AD59CD" w:rsidRDefault="00AD59CD" w:rsidP="00A16FF6">
      <w:pPr>
        <w:pStyle w:val="Standard"/>
        <w:widowControl w:val="0"/>
        <w:numPr>
          <w:ilvl w:val="0"/>
          <w:numId w:val="31"/>
        </w:numPr>
        <w:autoSpaceDN w:val="0"/>
        <w:spacing w:before="57" w:after="57" w:line="360" w:lineRule="auto"/>
        <w:jc w:val="both"/>
        <w:rPr>
          <w:rFonts w:cs="Times New Roman"/>
          <w:b/>
          <w:bCs/>
          <w:sz w:val="24"/>
          <w:szCs w:val="24"/>
        </w:rPr>
      </w:pPr>
      <w:r w:rsidRPr="00AD59CD">
        <w:rPr>
          <w:rFonts w:cs="Times New Roman"/>
          <w:b/>
          <w:bCs/>
          <w:sz w:val="24"/>
          <w:szCs w:val="24"/>
        </w:rPr>
        <w:t>CONDIÇÕES DE PAGAMENTO</w:t>
      </w:r>
    </w:p>
    <w:p w14:paraId="774C25BB"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O pagamento das subscrições será realizado em 3 (três) parcelas anuais, condicionado ao recebimento definitivo e Nota Fiscal/Fatura por parte da CONTRATADA, de acordo com o seguinte cronograma:</w:t>
      </w:r>
    </w:p>
    <w:p w14:paraId="3F507C02"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 xml:space="preserve">PARCELA 1: Correspondente a 1/3 (um terço) do valor do contrato, </w:t>
      </w:r>
      <w:proofErr w:type="gramStart"/>
      <w:r w:rsidRPr="00AD59CD">
        <w:rPr>
          <w:rFonts w:cs="Times New Roman"/>
          <w:sz w:val="24"/>
          <w:szCs w:val="24"/>
        </w:rPr>
        <w:t>à</w:t>
      </w:r>
      <w:proofErr w:type="gramEnd"/>
      <w:r w:rsidRPr="00AD59CD">
        <w:rPr>
          <w:rFonts w:cs="Times New Roman"/>
          <w:sz w:val="24"/>
          <w:szCs w:val="24"/>
        </w:rPr>
        <w:t xml:space="preserve"> ser paga pela CONTRATANTE, em até 10 (dez) dias úteis, contados a partir da data de recebimento definitivo do objeto, acompanhada do atesto do Fiscal do contrato, conforme o disposto nos artigos 67 e 73 da Lei 8.666/93;</w:t>
      </w:r>
    </w:p>
    <w:p w14:paraId="0DB222FC"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PARCELA 2: Correspondente a 1/3 (um terço) do valor do contrato, será paga pela CONTRATANTE, em até 10 (dez) dias úteis, após 1 (um) ano da data de recebimento definitivo, mediante a apresentação de Nota Fiscal / Fatura pela CONTRATADA;</w:t>
      </w:r>
    </w:p>
    <w:p w14:paraId="05F4D140"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PARCELA 3: Correspondente a 1/3 (um terço) do valor do contrato, será paga pela CONTRATANTE, em até 10 (dez) dias úteis, após 2 (dois) anos da data de recebimento definitivo, mediante a apresentação de Nota Fiscal / Fatura pela CONTRATA</w:t>
      </w:r>
    </w:p>
    <w:p w14:paraId="1C0C4477"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1DAB5642"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 xml:space="preserve">O pagamento será feito por meio de depósito na </w:t>
      </w:r>
      <w:proofErr w:type="spellStart"/>
      <w:r w:rsidRPr="00AD59CD">
        <w:rPr>
          <w:rFonts w:cs="Times New Roman"/>
          <w:sz w:val="24"/>
          <w:szCs w:val="24"/>
        </w:rPr>
        <w:t>conta-corrente</w:t>
      </w:r>
      <w:proofErr w:type="spellEnd"/>
      <w:r w:rsidRPr="00AD59CD">
        <w:rPr>
          <w:rFonts w:cs="Times New Roman"/>
          <w:sz w:val="24"/>
          <w:szCs w:val="24"/>
        </w:rPr>
        <w:t xml:space="preserve"> da CONTRATADA, através de Ordem Bancária, mediante apresentação da respectiva Nota Fiscal/Fatura do fornecimento.</w:t>
      </w:r>
    </w:p>
    <w:p w14:paraId="5118F153"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 xml:space="preserve">Para execução do pagamento de que trata a presente Cláusula, a CONTRATADA </w:t>
      </w:r>
      <w:r w:rsidRPr="00AD59CD">
        <w:rPr>
          <w:rFonts w:cs="Times New Roman"/>
          <w:sz w:val="24"/>
          <w:szCs w:val="24"/>
        </w:rPr>
        <w:lastRenderedPageBreak/>
        <w:t>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44EEE4B4"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Sobre o valor da nota fiscal, a CONTRATANTE fará as retenções devidas dos impostos e contribuições previstas na Instrução Normativa SRF nº 1.234, de 11/01/2012.</w:t>
      </w:r>
    </w:p>
    <w:p w14:paraId="1BC8A848"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A apresentação de certidões atrasadas ou irregulares com a nota fiscal ensejará anotação do fiscal no registro próprio, e criará pendência a ser sanada pela Contratada.</w:t>
      </w:r>
    </w:p>
    <w:p w14:paraId="7BEC924B"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 xml:space="preserve">Constatando-se, junto ao SICAF, a situação de irregularidade da CONTRATADA, será providenciada sua notificação, por escrito, para que, no prazo </w:t>
      </w:r>
      <w:r w:rsidRPr="00AD59CD">
        <w:rPr>
          <w:rFonts w:cs="Times New Roman"/>
          <w:sz w:val="24"/>
          <w:szCs w:val="24"/>
          <w:shd w:val="clear" w:color="auto" w:fill="FFFFFF" w:themeFill="background1"/>
        </w:rPr>
        <w:t>de 15 dias corridos,</w:t>
      </w:r>
      <w:r w:rsidRPr="00AD59CD">
        <w:rPr>
          <w:rFonts w:cs="Times New Roman"/>
          <w:sz w:val="24"/>
          <w:szCs w:val="24"/>
        </w:rPr>
        <w:t xml:space="preserve"> regularize sua situação ou, no mesmo prazo, apresente sua defesa. O prazo poderá ser prorrogado uma vez, por igual período, a critério do CONTRATANTE.</w:t>
      </w:r>
    </w:p>
    <w:p w14:paraId="3DB533AB"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6B8BFAAA" w14:textId="77777777" w:rsidR="00AD59CD" w:rsidRPr="00AD59CD" w:rsidRDefault="00AD59CD" w:rsidP="00AD59CD">
      <w:pPr>
        <w:pStyle w:val="Standard"/>
        <w:spacing w:before="57" w:after="57" w:line="360" w:lineRule="auto"/>
        <w:jc w:val="both"/>
        <w:rPr>
          <w:rFonts w:cs="Times New Roman"/>
          <w:sz w:val="24"/>
          <w:szCs w:val="24"/>
        </w:rPr>
      </w:pPr>
    </w:p>
    <w:p w14:paraId="741C39E6" w14:textId="77777777" w:rsidR="00AD59CD" w:rsidRPr="00AD59CD" w:rsidRDefault="00AD59CD" w:rsidP="00A16FF6">
      <w:pPr>
        <w:pStyle w:val="PargrafodaLista"/>
        <w:widowControl w:val="0"/>
        <w:numPr>
          <w:ilvl w:val="0"/>
          <w:numId w:val="31"/>
        </w:numPr>
        <w:autoSpaceDN w:val="0"/>
        <w:contextualSpacing/>
        <w:rPr>
          <w:rFonts w:cs="Times New Roman"/>
          <w:b/>
          <w:bCs/>
          <w:sz w:val="24"/>
          <w:szCs w:val="24"/>
        </w:rPr>
      </w:pPr>
      <w:r w:rsidRPr="00AD59CD">
        <w:rPr>
          <w:rFonts w:cs="Times New Roman"/>
          <w:b/>
          <w:bCs/>
          <w:sz w:val="24"/>
          <w:szCs w:val="24"/>
        </w:rPr>
        <w:t>DAS SANÇÕES ADMINISTRATIVAS</w:t>
      </w:r>
    </w:p>
    <w:p w14:paraId="79E62D5A"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 xml:space="preserve">A CONTRATADA ficará sujeita às penalidades previstas nas Leis </w:t>
      </w:r>
      <w:r w:rsidRPr="00AD59CD">
        <w:rPr>
          <w:rFonts w:cs="Times New Roman"/>
          <w:sz w:val="24"/>
          <w:szCs w:val="24"/>
          <w:shd w:val="clear" w:color="auto" w:fill="FFFFFF" w:themeFill="background1"/>
        </w:rPr>
        <w:t>nº 10.520/2002 e 8.666/93 em caso de descumprimento de quaisquer das cláusula</w:t>
      </w:r>
      <w:r w:rsidRPr="00AD59CD">
        <w:rPr>
          <w:rFonts w:cs="Times New Roman"/>
          <w:sz w:val="24"/>
          <w:szCs w:val="24"/>
        </w:rPr>
        <w:t>s ou condições do presente contrato.</w:t>
      </w:r>
    </w:p>
    <w:p w14:paraId="0E66DF31"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 xml:space="preserve">Conforme o disposto </w:t>
      </w:r>
      <w:r w:rsidRPr="00AD59CD">
        <w:rPr>
          <w:rFonts w:cs="Times New Roman"/>
          <w:sz w:val="24"/>
          <w:szCs w:val="24"/>
          <w:shd w:val="clear" w:color="auto" w:fill="FFFFFF" w:themeFill="background1"/>
        </w:rPr>
        <w:t>no art. 7º da Lei 10.520/2002,</w:t>
      </w:r>
      <w:r w:rsidRPr="00AD59CD">
        <w:rPr>
          <w:rFonts w:cs="Times New Roman"/>
          <w:sz w:val="24"/>
          <w:szCs w:val="24"/>
        </w:rPr>
        <w:t xml:space="preserve">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w:t>
      </w:r>
      <w:r w:rsidRPr="00AD59CD">
        <w:rPr>
          <w:rFonts w:cs="Times New Roman"/>
          <w:sz w:val="24"/>
          <w:szCs w:val="24"/>
          <w:shd w:val="clear" w:color="auto" w:fill="FFFFFF" w:themeFill="background1"/>
        </w:rPr>
        <w:t>contrato</w:t>
      </w:r>
      <w:r w:rsidRPr="00AD59CD">
        <w:rPr>
          <w:rFonts w:cs="Times New Roman"/>
          <w:sz w:val="24"/>
          <w:szCs w:val="24"/>
        </w:rPr>
        <w:t>,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1B8D1A45"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lastRenderedPageBreak/>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0F3576C7"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 xml:space="preserve"> Advertência;</w:t>
      </w:r>
    </w:p>
    <w:p w14:paraId="111A5C21" w14:textId="77777777" w:rsidR="00AD59CD" w:rsidRPr="00AD59CD" w:rsidRDefault="00AD59CD" w:rsidP="00A16FF6">
      <w:pPr>
        <w:pStyle w:val="Standard"/>
        <w:widowControl w:val="0"/>
        <w:numPr>
          <w:ilvl w:val="2"/>
          <w:numId w:val="31"/>
        </w:numPr>
        <w:shd w:val="clear" w:color="auto" w:fill="FFFFFF" w:themeFill="background1"/>
        <w:autoSpaceDN w:val="0"/>
        <w:spacing w:before="57" w:after="57" w:line="360" w:lineRule="auto"/>
        <w:jc w:val="both"/>
        <w:rPr>
          <w:rFonts w:cs="Times New Roman"/>
          <w:sz w:val="24"/>
          <w:szCs w:val="24"/>
        </w:rPr>
      </w:pPr>
      <w:r w:rsidRPr="00AD59CD">
        <w:rPr>
          <w:rFonts w:cs="Times New Roman"/>
          <w:sz w:val="24"/>
          <w:szCs w:val="24"/>
        </w:rPr>
        <w:t xml:space="preserve">Multa, nas seguintes hipóteses e nas demais previstas </w:t>
      </w:r>
      <w:r w:rsidRPr="00AD59CD">
        <w:rPr>
          <w:rFonts w:cs="Times New Roman"/>
          <w:sz w:val="24"/>
          <w:szCs w:val="24"/>
          <w:shd w:val="clear" w:color="auto" w:fill="FFFFFF" w:themeFill="background1"/>
        </w:rPr>
        <w:t>na seção de</w:t>
      </w:r>
      <w:r w:rsidRPr="00AD59CD">
        <w:rPr>
          <w:rFonts w:cs="Times New Roman"/>
          <w:sz w:val="24"/>
          <w:szCs w:val="24"/>
          <w:shd w:val="clear" w:color="auto" w:fill="FFFF00"/>
        </w:rPr>
        <w:t xml:space="preserve"> </w:t>
      </w:r>
      <w:r w:rsidRPr="00AD59CD">
        <w:rPr>
          <w:rFonts w:cs="Times New Roman"/>
          <w:sz w:val="24"/>
          <w:szCs w:val="24"/>
          <w:shd w:val="clear" w:color="auto" w:fill="FFFFFF" w:themeFill="background1"/>
        </w:rPr>
        <w:t>penalidades</w:t>
      </w:r>
      <w:r w:rsidRPr="00AD59CD">
        <w:rPr>
          <w:rFonts w:cs="Times New Roman"/>
          <w:sz w:val="24"/>
          <w:szCs w:val="24"/>
        </w:rPr>
        <w:t xml:space="preserve"> deste termo de referência:</w:t>
      </w:r>
    </w:p>
    <w:p w14:paraId="3B4D1B6E" w14:textId="77777777" w:rsidR="00AD59CD" w:rsidRPr="00AD59CD" w:rsidRDefault="00AD59CD" w:rsidP="00A16FF6">
      <w:pPr>
        <w:pStyle w:val="Standard"/>
        <w:widowControl w:val="0"/>
        <w:numPr>
          <w:ilvl w:val="3"/>
          <w:numId w:val="31"/>
        </w:numPr>
        <w:autoSpaceDN w:val="0"/>
        <w:spacing w:before="57" w:after="57" w:line="360" w:lineRule="auto"/>
        <w:jc w:val="both"/>
        <w:rPr>
          <w:rFonts w:cs="Times New Roman"/>
          <w:sz w:val="24"/>
          <w:szCs w:val="24"/>
        </w:rPr>
      </w:pPr>
      <w:r w:rsidRPr="00AD59CD">
        <w:rPr>
          <w:rFonts w:cs="Times New Roman"/>
          <w:sz w:val="24"/>
          <w:szCs w:val="24"/>
        </w:rPr>
        <w:t xml:space="preserve">multa moratória </w:t>
      </w:r>
      <w:r w:rsidRPr="00AD59CD">
        <w:rPr>
          <w:rFonts w:cs="Times New Roman"/>
          <w:sz w:val="24"/>
          <w:szCs w:val="24"/>
          <w:shd w:val="clear" w:color="auto" w:fill="FFFFFF" w:themeFill="background1"/>
        </w:rPr>
        <w:t>de 1%</w:t>
      </w:r>
      <w:r w:rsidRPr="00AD59CD">
        <w:rPr>
          <w:rFonts w:cs="Times New Roman"/>
          <w:sz w:val="24"/>
          <w:szCs w:val="24"/>
        </w:rPr>
        <w:t xml:space="preserve"> sobre o valor total da contratação, por dia de atraso injustificado, limitada sua aplicação até o máximo de </w:t>
      </w:r>
      <w:r w:rsidRPr="00AD59CD">
        <w:rPr>
          <w:rFonts w:cs="Times New Roman"/>
          <w:sz w:val="24"/>
          <w:szCs w:val="24"/>
          <w:shd w:val="clear" w:color="auto" w:fill="FFFFFF" w:themeFill="background1"/>
        </w:rPr>
        <w:t xml:space="preserve">10 </w:t>
      </w:r>
      <w:r w:rsidRPr="00AD59CD">
        <w:rPr>
          <w:rFonts w:cs="Times New Roman"/>
          <w:sz w:val="24"/>
          <w:szCs w:val="24"/>
        </w:rPr>
        <w:t xml:space="preserve">dias, situação que caracterizará inexecução </w:t>
      </w:r>
      <w:r w:rsidRPr="00AD59CD">
        <w:rPr>
          <w:rFonts w:cs="Times New Roman"/>
          <w:b/>
          <w:bCs/>
          <w:sz w:val="24"/>
          <w:szCs w:val="24"/>
        </w:rPr>
        <w:t>parcial</w:t>
      </w:r>
      <w:r w:rsidRPr="00AD59CD">
        <w:rPr>
          <w:rFonts w:cs="Times New Roman"/>
          <w:sz w:val="24"/>
          <w:szCs w:val="24"/>
        </w:rPr>
        <w:t xml:space="preserve"> do contrato.</w:t>
      </w:r>
    </w:p>
    <w:p w14:paraId="182222B4" w14:textId="77777777" w:rsidR="00AD59CD" w:rsidRPr="00AD59CD" w:rsidRDefault="00AD59CD" w:rsidP="00A16FF6">
      <w:pPr>
        <w:pStyle w:val="Standard"/>
        <w:widowControl w:val="0"/>
        <w:numPr>
          <w:ilvl w:val="3"/>
          <w:numId w:val="31"/>
        </w:numPr>
        <w:autoSpaceDN w:val="0"/>
        <w:spacing w:before="57" w:after="57" w:line="360" w:lineRule="auto"/>
        <w:jc w:val="both"/>
        <w:rPr>
          <w:rFonts w:cs="Times New Roman"/>
          <w:sz w:val="24"/>
          <w:szCs w:val="24"/>
        </w:rPr>
      </w:pPr>
      <w:r w:rsidRPr="00AD59CD">
        <w:rPr>
          <w:rFonts w:cs="Times New Roman"/>
          <w:sz w:val="24"/>
          <w:szCs w:val="24"/>
        </w:rPr>
        <w:t xml:space="preserve">Pela caracterização de inexecução parcial do objeto contratado, será aplicada multa de </w:t>
      </w:r>
      <w:r w:rsidRPr="00AD59CD">
        <w:rPr>
          <w:rFonts w:cs="Times New Roman"/>
          <w:b/>
          <w:bCs/>
          <w:sz w:val="24"/>
          <w:szCs w:val="24"/>
        </w:rPr>
        <w:t xml:space="preserve">até </w:t>
      </w:r>
      <w:r w:rsidRPr="00AD59CD">
        <w:rPr>
          <w:rFonts w:cs="Times New Roman"/>
          <w:sz w:val="24"/>
          <w:szCs w:val="24"/>
          <w:shd w:val="clear" w:color="auto" w:fill="FFFFFF" w:themeFill="background1"/>
        </w:rPr>
        <w:t>20%</w:t>
      </w:r>
      <w:r w:rsidRPr="00AD59CD">
        <w:rPr>
          <w:rFonts w:cs="Times New Roman"/>
          <w:sz w:val="24"/>
          <w:szCs w:val="24"/>
        </w:rPr>
        <w:t xml:space="preserve"> do valor global do contrato.</w:t>
      </w:r>
    </w:p>
    <w:p w14:paraId="709A21C3" w14:textId="77777777" w:rsidR="00AD59CD" w:rsidRPr="00AD59CD" w:rsidRDefault="00AD59CD" w:rsidP="00A16FF6">
      <w:pPr>
        <w:pStyle w:val="Standard"/>
        <w:widowControl w:val="0"/>
        <w:numPr>
          <w:ilvl w:val="3"/>
          <w:numId w:val="31"/>
        </w:numPr>
        <w:autoSpaceDN w:val="0"/>
        <w:spacing w:before="57" w:after="57" w:line="360" w:lineRule="auto"/>
        <w:jc w:val="both"/>
        <w:rPr>
          <w:rFonts w:cs="Times New Roman"/>
          <w:sz w:val="24"/>
          <w:szCs w:val="24"/>
        </w:rPr>
      </w:pPr>
      <w:r w:rsidRPr="00AD59CD">
        <w:rPr>
          <w:rFonts w:cs="Times New Roman"/>
          <w:sz w:val="24"/>
          <w:szCs w:val="24"/>
        </w:rPr>
        <w:t xml:space="preserve">Após o 15° dia de atraso, os serviços poderão, a critério do CONTRATANTE, não mais ser aceitos, configurando-se a inexecução </w:t>
      </w:r>
      <w:r w:rsidRPr="00AD59CD">
        <w:rPr>
          <w:rFonts w:cs="Times New Roman"/>
          <w:b/>
          <w:bCs/>
          <w:sz w:val="24"/>
          <w:szCs w:val="24"/>
        </w:rPr>
        <w:t xml:space="preserve">total </w:t>
      </w:r>
      <w:r w:rsidRPr="00AD59CD">
        <w:rPr>
          <w:rFonts w:cs="Times New Roman"/>
          <w:sz w:val="24"/>
          <w:szCs w:val="24"/>
        </w:rPr>
        <w:t>do Contrato, com as consequências previstas em lei e neste instrumento.</w:t>
      </w:r>
    </w:p>
    <w:p w14:paraId="640E35E4" w14:textId="77777777" w:rsidR="00AD59CD" w:rsidRPr="00AD59CD" w:rsidRDefault="00AD59CD" w:rsidP="00A16FF6">
      <w:pPr>
        <w:pStyle w:val="Standard"/>
        <w:widowControl w:val="0"/>
        <w:numPr>
          <w:ilvl w:val="3"/>
          <w:numId w:val="31"/>
        </w:numPr>
        <w:autoSpaceDN w:val="0"/>
        <w:spacing w:before="57" w:after="57" w:line="360" w:lineRule="auto"/>
        <w:jc w:val="both"/>
        <w:rPr>
          <w:rFonts w:cs="Times New Roman"/>
          <w:sz w:val="24"/>
          <w:szCs w:val="24"/>
        </w:rPr>
      </w:pPr>
      <w:r w:rsidRPr="00AD59CD">
        <w:rPr>
          <w:rFonts w:cs="Times New Roman"/>
          <w:sz w:val="24"/>
          <w:szCs w:val="24"/>
        </w:rPr>
        <w:t xml:space="preserve">Pela caracterização de inexecução total do objeto contratado, será aplicada multa de </w:t>
      </w:r>
      <w:r w:rsidRPr="00AD59CD">
        <w:rPr>
          <w:rFonts w:cs="Times New Roman"/>
          <w:b/>
          <w:bCs/>
          <w:sz w:val="24"/>
          <w:szCs w:val="24"/>
          <w:shd w:val="clear" w:color="auto" w:fill="FFFFFF" w:themeFill="background1"/>
        </w:rPr>
        <w:t xml:space="preserve">até </w:t>
      </w:r>
      <w:r w:rsidRPr="00AD59CD">
        <w:rPr>
          <w:rFonts w:cs="Times New Roman"/>
          <w:sz w:val="24"/>
          <w:szCs w:val="24"/>
          <w:shd w:val="clear" w:color="auto" w:fill="FFFFFF" w:themeFill="background1"/>
        </w:rPr>
        <w:t>30% do</w:t>
      </w:r>
      <w:r w:rsidRPr="00AD59CD">
        <w:rPr>
          <w:rFonts w:cs="Times New Roman"/>
          <w:sz w:val="24"/>
          <w:szCs w:val="24"/>
        </w:rPr>
        <w:t xml:space="preserve"> valor global do contrato.</w:t>
      </w:r>
    </w:p>
    <w:p w14:paraId="10365601"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Suspensão temporária de participação em licitação e impedimento de contratar com o CNMP, por até 02 (dois) anos;</w:t>
      </w:r>
    </w:p>
    <w:p w14:paraId="0F8E269A"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5B6BAB4C"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w:t>
      </w:r>
      <w:r w:rsidRPr="00AD59CD">
        <w:rPr>
          <w:rFonts w:cs="Times New Roman"/>
          <w:sz w:val="24"/>
          <w:szCs w:val="24"/>
        </w:rPr>
        <w:lastRenderedPageBreak/>
        <w:t>por cento) ao mês.</w:t>
      </w:r>
    </w:p>
    <w:p w14:paraId="4C977C25"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14:paraId="6A8262BE"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14:paraId="271301EB"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Tenham sofrido condenação definitiva por praticarem, por meios dolosos, fraudes fiscais no recolhimento de quaisquer tributos;</w:t>
      </w:r>
    </w:p>
    <w:p w14:paraId="1F3D679E"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Tenham praticado atos ilícitos visando a frustrar os objetivos da licitação;</w:t>
      </w:r>
    </w:p>
    <w:p w14:paraId="11BCEAAC" w14:textId="77777777" w:rsidR="00AD59CD" w:rsidRPr="00AD59CD" w:rsidRDefault="00AD59CD" w:rsidP="00A16FF6">
      <w:pPr>
        <w:pStyle w:val="Standard"/>
        <w:widowControl w:val="0"/>
        <w:numPr>
          <w:ilvl w:val="2"/>
          <w:numId w:val="31"/>
        </w:numPr>
        <w:autoSpaceDN w:val="0"/>
        <w:spacing w:before="57" w:after="57" w:line="360" w:lineRule="auto"/>
        <w:jc w:val="both"/>
        <w:rPr>
          <w:rFonts w:cs="Times New Roman"/>
          <w:sz w:val="24"/>
          <w:szCs w:val="24"/>
        </w:rPr>
      </w:pPr>
      <w:r w:rsidRPr="00AD59CD">
        <w:rPr>
          <w:rFonts w:cs="Times New Roman"/>
          <w:sz w:val="24"/>
          <w:szCs w:val="24"/>
        </w:rPr>
        <w:t>Demonstrem não possuir idoneidade para contratar com a Administração em virtude de atos ilícitos praticados.</w:t>
      </w:r>
    </w:p>
    <w:p w14:paraId="17838CE6"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Da aplicação das penas definidas no caput e no § 1º do art. 87, da Lei n.º 8.666/93, exceto para aquela definida no inciso IV, caberá recurso no prazo de 05(cinco) dias úteis da data de intimação do ato.</w:t>
      </w:r>
    </w:p>
    <w:p w14:paraId="2CC100D0"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348FA51"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Na comunicação da aplicação da penalidade de que trata o item anterior, serão informados o nome e a lotação da autoridade que aplicou a sanção, bem como daquela competente para decidir sobre o recurso.</w:t>
      </w:r>
    </w:p>
    <w:p w14:paraId="21B7A53B"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w:t>
      </w:r>
      <w:r w:rsidRPr="00AD59CD">
        <w:rPr>
          <w:rFonts w:cs="Times New Roman"/>
          <w:sz w:val="24"/>
          <w:szCs w:val="24"/>
          <w:shd w:val="clear" w:color="auto" w:fill="FFFFFF" w:themeFill="background1"/>
        </w:rPr>
        <w:t>, das 13h às 17h.</w:t>
      </w:r>
    </w:p>
    <w:p w14:paraId="1D4A9DEE" w14:textId="77777777" w:rsidR="00AD59CD" w:rsidRPr="00AD59CD" w:rsidRDefault="00AD59CD" w:rsidP="00A16FF6">
      <w:pPr>
        <w:pStyle w:val="Standard"/>
        <w:widowControl w:val="0"/>
        <w:numPr>
          <w:ilvl w:val="1"/>
          <w:numId w:val="31"/>
        </w:numPr>
        <w:autoSpaceDN w:val="0"/>
        <w:spacing w:before="57" w:after="57" w:line="360" w:lineRule="auto"/>
        <w:jc w:val="both"/>
        <w:rPr>
          <w:rFonts w:cs="Times New Roman"/>
          <w:sz w:val="24"/>
          <w:szCs w:val="24"/>
        </w:rPr>
      </w:pPr>
      <w:r w:rsidRPr="00AD59CD">
        <w:rPr>
          <w:rFonts w:cs="Times New Roman"/>
          <w:sz w:val="24"/>
          <w:szCs w:val="24"/>
        </w:rPr>
        <w:t xml:space="preserve">As penalidades previstas neste Edital são independentes entre si, podendo ser aplicadas isoladas ou, no caso de multa, cumulativamente, sem prejuízo de outras medidas cabíveis, </w:t>
      </w:r>
      <w:r w:rsidRPr="00AD59CD">
        <w:rPr>
          <w:rFonts w:cs="Times New Roman"/>
          <w:sz w:val="24"/>
          <w:szCs w:val="24"/>
        </w:rPr>
        <w:lastRenderedPageBreak/>
        <w:t>garantida prévia defesa (art. 87, § 2º da Lei 8.666/93).</w:t>
      </w:r>
    </w:p>
    <w:p w14:paraId="5299879B" w14:textId="77777777" w:rsidR="00AD59CD" w:rsidRPr="00AD59CD" w:rsidRDefault="00AD59CD" w:rsidP="00A16FF6">
      <w:pPr>
        <w:pStyle w:val="Standard"/>
        <w:widowControl w:val="0"/>
        <w:numPr>
          <w:ilvl w:val="0"/>
          <w:numId w:val="31"/>
        </w:numPr>
        <w:autoSpaceDN w:val="0"/>
        <w:spacing w:before="57" w:after="57" w:line="360" w:lineRule="auto"/>
        <w:jc w:val="both"/>
        <w:rPr>
          <w:rFonts w:cs="Times New Roman"/>
          <w:sz w:val="24"/>
          <w:szCs w:val="24"/>
        </w:rPr>
      </w:pPr>
      <w:r w:rsidRPr="00AD59CD">
        <w:rPr>
          <w:rFonts w:eastAsia="Lucida Sans Unicode" w:cs="Times New Roman"/>
          <w:b/>
          <w:bCs/>
          <w:sz w:val="24"/>
          <w:szCs w:val="24"/>
          <w:lang w:eastAsia="en-US"/>
        </w:rPr>
        <w:t xml:space="preserve"> TABELA DE PENALIDADES</w:t>
      </w:r>
    </w:p>
    <w:p w14:paraId="66F41E79" w14:textId="77777777" w:rsidR="00AD59CD" w:rsidRPr="00AD59CD" w:rsidRDefault="00AD59CD" w:rsidP="00A16FF6">
      <w:pPr>
        <w:pStyle w:val="Standard"/>
        <w:numPr>
          <w:ilvl w:val="1"/>
          <w:numId w:val="31"/>
        </w:numPr>
        <w:tabs>
          <w:tab w:val="left" w:pos="70"/>
        </w:tabs>
        <w:autoSpaceDN w:val="0"/>
        <w:spacing w:before="57" w:after="57" w:line="360" w:lineRule="auto"/>
        <w:jc w:val="both"/>
        <w:rPr>
          <w:rFonts w:eastAsia="Lucida Sans Unicode" w:cs="Times New Roman"/>
          <w:b/>
          <w:bCs/>
          <w:sz w:val="24"/>
          <w:szCs w:val="24"/>
          <w:lang w:eastAsia="en-US"/>
        </w:rPr>
      </w:pPr>
      <w:r w:rsidRPr="00AD59CD">
        <w:rPr>
          <w:rFonts w:eastAsia="Lucida Sans Unicode" w:cs="Times New Roman"/>
          <w:b/>
          <w:bCs/>
          <w:sz w:val="24"/>
          <w:szCs w:val="24"/>
          <w:lang w:eastAsia="en-US"/>
        </w:rPr>
        <w:t>Considerações iniciais</w:t>
      </w:r>
    </w:p>
    <w:p w14:paraId="3E41E7A4" w14:textId="77777777" w:rsidR="00AD59CD" w:rsidRPr="00AD59CD" w:rsidRDefault="00AD59CD" w:rsidP="00A16FF6">
      <w:pPr>
        <w:pStyle w:val="Standard"/>
        <w:numPr>
          <w:ilvl w:val="2"/>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 xml:space="preserve">A advertência não é </w:t>
      </w:r>
      <w:proofErr w:type="gramStart"/>
      <w:r w:rsidRPr="00AD59CD">
        <w:rPr>
          <w:rFonts w:eastAsia="Lucida Sans Unicode" w:cs="Times New Roman"/>
          <w:sz w:val="24"/>
          <w:szCs w:val="24"/>
          <w:lang w:eastAsia="en-US"/>
        </w:rPr>
        <w:t>pressuposto</w:t>
      </w:r>
      <w:proofErr w:type="gramEnd"/>
      <w:r w:rsidRPr="00AD59CD">
        <w:rPr>
          <w:rFonts w:eastAsia="Lucida Sans Unicode" w:cs="Times New Roman"/>
          <w:sz w:val="24"/>
          <w:szCs w:val="24"/>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016056B3" w14:textId="77777777" w:rsidR="00AD59CD" w:rsidRPr="00AD59CD" w:rsidRDefault="00AD59CD" w:rsidP="00A16FF6">
      <w:pPr>
        <w:pStyle w:val="Standard"/>
        <w:numPr>
          <w:ilvl w:val="3"/>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Não causam prejuízo à Administração;</w:t>
      </w:r>
    </w:p>
    <w:p w14:paraId="67EAB584" w14:textId="77777777" w:rsidR="00AD59CD" w:rsidRPr="00AD59CD" w:rsidRDefault="00AD59CD" w:rsidP="00A16FF6">
      <w:pPr>
        <w:pStyle w:val="Standard"/>
        <w:numPr>
          <w:ilvl w:val="3"/>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A CONTRATADA após a notificação, diligência para resolver o problema, fornecer o produto ou executar o serviço;</w:t>
      </w:r>
    </w:p>
    <w:p w14:paraId="32427467" w14:textId="77777777" w:rsidR="00AD59CD" w:rsidRPr="00AD59CD" w:rsidRDefault="00AD59CD" w:rsidP="00A16FF6">
      <w:pPr>
        <w:pStyle w:val="Standard"/>
        <w:numPr>
          <w:ilvl w:val="3"/>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Nas hipóteses que há elementos que sugerem que A CONTRATADA corrigirá seu procedimento.</w:t>
      </w:r>
    </w:p>
    <w:p w14:paraId="3A78647E" w14:textId="77777777" w:rsidR="00AD59CD" w:rsidRPr="00AD59CD" w:rsidRDefault="00AD59CD" w:rsidP="00A16FF6">
      <w:pPr>
        <w:pStyle w:val="Standard"/>
        <w:numPr>
          <w:ilvl w:val="2"/>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 xml:space="preserve">A suspensão temporária de participação em licitação e impedimento de contratar com o CNMP poderá ser aplicada nas hipóteses previstas no Art. 88 da Lei nº 8.666/93 </w:t>
      </w:r>
      <w:proofErr w:type="gramStart"/>
      <w:r w:rsidRPr="00AD59CD">
        <w:rPr>
          <w:rFonts w:eastAsia="Lucida Sans Unicode" w:cs="Times New Roman"/>
          <w:sz w:val="24"/>
          <w:szCs w:val="24"/>
          <w:lang w:eastAsia="en-US"/>
        </w:rPr>
        <w:t>e também</w:t>
      </w:r>
      <w:proofErr w:type="gramEnd"/>
      <w:r w:rsidRPr="00AD59CD">
        <w:rPr>
          <w:rFonts w:eastAsia="Lucida Sans Unicode" w:cs="Times New Roman"/>
          <w:sz w:val="24"/>
          <w:szCs w:val="24"/>
          <w:lang w:eastAsia="en-US"/>
        </w:rPr>
        <w:t xml:space="preserve"> nas seguintes:</w:t>
      </w:r>
    </w:p>
    <w:p w14:paraId="37B3FDC8" w14:textId="77777777" w:rsidR="00AD59CD" w:rsidRPr="00AD59CD" w:rsidRDefault="00AD59CD" w:rsidP="00A16FF6">
      <w:pPr>
        <w:pStyle w:val="Standard"/>
        <w:numPr>
          <w:ilvl w:val="3"/>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Descumprimento reiterado de obrigações fiscais e</w:t>
      </w:r>
    </w:p>
    <w:p w14:paraId="0F1BAA7D" w14:textId="77777777" w:rsidR="00AD59CD" w:rsidRPr="00AD59CD" w:rsidRDefault="00AD59CD" w:rsidP="00A16FF6">
      <w:pPr>
        <w:pStyle w:val="Standard"/>
        <w:numPr>
          <w:ilvl w:val="3"/>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Cometimento de infrações graves, muito graves e gravíssimas, considerando os prejuízos causados à CONTRATANTE e as circunstâncias no caso concreto.</w:t>
      </w:r>
    </w:p>
    <w:p w14:paraId="3368462B" w14:textId="77777777" w:rsidR="00AD59CD" w:rsidRPr="00AD59CD" w:rsidRDefault="00AD59CD" w:rsidP="00A16FF6">
      <w:pPr>
        <w:pStyle w:val="Standard"/>
        <w:numPr>
          <w:ilvl w:val="3"/>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4258A169" w14:textId="77777777" w:rsidR="00AD59CD" w:rsidRPr="00AD59CD" w:rsidRDefault="00AD59CD" w:rsidP="00A16FF6">
      <w:pPr>
        <w:pStyle w:val="Standard"/>
        <w:numPr>
          <w:ilvl w:val="1"/>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A multa poderá ser acumulada com quaisquer outras sanções e será aplicada na seguinte forma:</w:t>
      </w:r>
    </w:p>
    <w:p w14:paraId="5D34FF0D" w14:textId="0E9B42A4" w:rsidR="00AD59CD" w:rsidRDefault="00AD59CD" w:rsidP="00AD59CD">
      <w:pPr>
        <w:pStyle w:val="Standard"/>
        <w:tabs>
          <w:tab w:val="left" w:pos="70"/>
        </w:tabs>
        <w:spacing w:before="57" w:after="57" w:line="360" w:lineRule="auto"/>
        <w:ind w:left="792"/>
        <w:jc w:val="both"/>
        <w:rPr>
          <w:rFonts w:eastAsia="Lucida Sans Unicode" w:cs="Times New Roman"/>
          <w:sz w:val="24"/>
          <w:szCs w:val="24"/>
          <w:lang w:eastAsia="en-US"/>
        </w:rPr>
      </w:pPr>
    </w:p>
    <w:p w14:paraId="755835E3" w14:textId="77777777" w:rsidR="00564C1D" w:rsidRPr="00AD59CD" w:rsidRDefault="00564C1D" w:rsidP="00AD59CD">
      <w:pPr>
        <w:pStyle w:val="Standard"/>
        <w:tabs>
          <w:tab w:val="left" w:pos="70"/>
        </w:tabs>
        <w:spacing w:before="57" w:after="57" w:line="360" w:lineRule="auto"/>
        <w:ind w:left="792"/>
        <w:jc w:val="both"/>
        <w:rPr>
          <w:rFonts w:eastAsia="Lucida Sans Unicode" w:cs="Times New Roman"/>
          <w:sz w:val="24"/>
          <w:szCs w:val="24"/>
          <w:lang w:eastAsia="en-US"/>
        </w:rPr>
      </w:pPr>
    </w:p>
    <w:p w14:paraId="5529819E" w14:textId="77777777" w:rsidR="00AD59CD" w:rsidRPr="00AD59CD" w:rsidRDefault="00AD59CD" w:rsidP="00AD59CD">
      <w:pPr>
        <w:pStyle w:val="Standard"/>
        <w:tabs>
          <w:tab w:val="left" w:pos="70"/>
        </w:tabs>
        <w:spacing w:before="57" w:after="57" w:line="360" w:lineRule="auto"/>
        <w:jc w:val="center"/>
        <w:rPr>
          <w:rFonts w:eastAsia="Lucida Sans Unicode" w:cs="Times New Roman"/>
          <w:b/>
          <w:bCs/>
          <w:sz w:val="24"/>
          <w:szCs w:val="24"/>
          <w:lang w:eastAsia="en-US"/>
        </w:rPr>
      </w:pPr>
      <w:r w:rsidRPr="00AD59CD">
        <w:rPr>
          <w:rFonts w:eastAsia="Lucida Sans Unicode" w:cs="Times New Roman"/>
          <w:b/>
          <w:bCs/>
          <w:sz w:val="24"/>
          <w:szCs w:val="24"/>
          <w:lang w:eastAsia="en-US"/>
        </w:rPr>
        <w:lastRenderedPageBreak/>
        <w:t>Tabela 1: Percentual máximo para as infrações previstas na Lei 10.520/2002</w:t>
      </w: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AD59CD" w:rsidRPr="00AD59CD" w14:paraId="4A761330" w14:textId="77777777" w:rsidTr="0024040C">
        <w:tc>
          <w:tcPr>
            <w:tcW w:w="4818" w:type="dxa"/>
            <w:tcBorders>
              <w:top w:val="single" w:sz="2" w:space="0" w:color="000000" w:themeColor="text1"/>
              <w:left w:val="single" w:sz="2" w:space="0" w:color="000000" w:themeColor="text1"/>
              <w:bottom w:val="single" w:sz="2" w:space="0" w:color="000000" w:themeColor="text1"/>
            </w:tcBorders>
            <w:shd w:val="clear" w:color="auto" w:fill="B2B2B2"/>
            <w:tcMar>
              <w:top w:w="55" w:type="dxa"/>
              <w:left w:w="55" w:type="dxa"/>
              <w:bottom w:w="55" w:type="dxa"/>
              <w:right w:w="55" w:type="dxa"/>
            </w:tcMar>
          </w:tcPr>
          <w:p w14:paraId="345E79D1" w14:textId="77777777" w:rsidR="00AD59CD" w:rsidRPr="00AD59CD" w:rsidRDefault="00AD59CD" w:rsidP="0024040C">
            <w:pPr>
              <w:pStyle w:val="Standard"/>
              <w:spacing w:before="57" w:after="57" w:line="360" w:lineRule="auto"/>
              <w:jc w:val="center"/>
              <w:rPr>
                <w:rFonts w:cs="Times New Roman"/>
                <w:b/>
                <w:bCs/>
                <w:sz w:val="24"/>
                <w:szCs w:val="24"/>
              </w:rPr>
            </w:pPr>
            <w:r w:rsidRPr="00AD59CD">
              <w:rPr>
                <w:rFonts w:cs="Times New Roman"/>
                <w:b/>
                <w:bCs/>
                <w:sz w:val="24"/>
                <w:szCs w:val="24"/>
              </w:rPr>
              <w:t>INFRAÇÃO</w:t>
            </w:r>
          </w:p>
        </w:tc>
        <w:tc>
          <w:tcPr>
            <w:tcW w:w="482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2B2B2"/>
            <w:tcMar>
              <w:top w:w="55" w:type="dxa"/>
              <w:left w:w="55" w:type="dxa"/>
              <w:bottom w:w="55" w:type="dxa"/>
              <w:right w:w="55" w:type="dxa"/>
            </w:tcMar>
          </w:tcPr>
          <w:p w14:paraId="27742497" w14:textId="77777777" w:rsidR="00AD59CD" w:rsidRPr="00AD59CD" w:rsidRDefault="00AD59CD" w:rsidP="0024040C">
            <w:pPr>
              <w:pStyle w:val="Standard"/>
              <w:spacing w:before="57" w:after="57" w:line="360" w:lineRule="auto"/>
              <w:jc w:val="center"/>
              <w:rPr>
                <w:rFonts w:cs="Times New Roman"/>
                <w:b/>
                <w:bCs/>
                <w:sz w:val="24"/>
                <w:szCs w:val="24"/>
              </w:rPr>
            </w:pPr>
            <w:r w:rsidRPr="00AD59CD">
              <w:rPr>
                <w:rFonts w:cs="Times New Roman"/>
                <w:b/>
                <w:bCs/>
                <w:sz w:val="24"/>
                <w:szCs w:val="24"/>
              </w:rPr>
              <w:t xml:space="preserve">MULTA </w:t>
            </w:r>
          </w:p>
          <w:p w14:paraId="2DAC6A48" w14:textId="77777777" w:rsidR="00AD59CD" w:rsidRPr="00AD59CD" w:rsidRDefault="00AD59CD" w:rsidP="0024040C">
            <w:pPr>
              <w:pStyle w:val="Standard"/>
              <w:spacing w:before="57" w:after="57" w:line="360" w:lineRule="auto"/>
              <w:jc w:val="center"/>
              <w:rPr>
                <w:rFonts w:cs="Times New Roman"/>
                <w:b/>
                <w:bCs/>
                <w:sz w:val="24"/>
                <w:szCs w:val="24"/>
              </w:rPr>
            </w:pPr>
            <w:r w:rsidRPr="00AD59CD">
              <w:rPr>
                <w:rFonts w:cs="Times New Roman"/>
                <w:b/>
                <w:bCs/>
                <w:sz w:val="24"/>
                <w:szCs w:val="24"/>
              </w:rPr>
              <w:t>(% sobre o valor global do contrato)</w:t>
            </w:r>
          </w:p>
        </w:tc>
      </w:tr>
      <w:tr w:rsidR="00AD59CD" w:rsidRPr="00AD59CD" w14:paraId="7011CEDB" w14:textId="77777777" w:rsidTr="0024040C">
        <w:tc>
          <w:tcPr>
            <w:tcW w:w="4818" w:type="dxa"/>
            <w:tcBorders>
              <w:left w:val="single" w:sz="2" w:space="0" w:color="000000" w:themeColor="text1"/>
              <w:bottom w:val="single" w:sz="2" w:space="0" w:color="000000" w:themeColor="text1"/>
            </w:tcBorders>
            <w:tcMar>
              <w:top w:w="55" w:type="dxa"/>
              <w:left w:w="55" w:type="dxa"/>
              <w:bottom w:w="55" w:type="dxa"/>
              <w:right w:w="55" w:type="dxa"/>
            </w:tcMar>
          </w:tcPr>
          <w:p w14:paraId="2ECAF9C5" w14:textId="77777777" w:rsidR="00AD59CD" w:rsidRPr="00AD59CD" w:rsidRDefault="00AD59CD" w:rsidP="0024040C">
            <w:pPr>
              <w:pStyle w:val="Standard"/>
              <w:spacing w:before="57" w:after="57" w:line="360" w:lineRule="auto"/>
              <w:jc w:val="both"/>
              <w:rPr>
                <w:rFonts w:eastAsia="TTE4D8A148t00" w:cs="Times New Roman"/>
                <w:color w:val="000000"/>
                <w:sz w:val="24"/>
                <w:szCs w:val="24"/>
              </w:rPr>
            </w:pPr>
            <w:r w:rsidRPr="00AD59CD">
              <w:rPr>
                <w:rFonts w:eastAsia="TTE4D8A148t00" w:cs="Times New Roman"/>
                <w:color w:val="000000"/>
                <w:sz w:val="24"/>
                <w:szCs w:val="24"/>
              </w:rPr>
              <w:t>1) apresentação de documentação falsa</w:t>
            </w:r>
          </w:p>
          <w:p w14:paraId="3BDCD288" w14:textId="77777777" w:rsidR="00AD59CD" w:rsidRPr="00AD59CD" w:rsidRDefault="00AD59CD" w:rsidP="0024040C">
            <w:pPr>
              <w:pStyle w:val="Standard"/>
              <w:spacing w:before="57" w:after="57" w:line="360" w:lineRule="auto"/>
              <w:jc w:val="both"/>
              <w:rPr>
                <w:rFonts w:eastAsia="TTE4D8A148t00" w:cs="Times New Roman"/>
                <w:color w:val="000000"/>
                <w:sz w:val="24"/>
                <w:szCs w:val="24"/>
              </w:rPr>
            </w:pPr>
            <w:r w:rsidRPr="00AD59CD">
              <w:rPr>
                <w:rFonts w:eastAsia="TTE4D8A148t00" w:cs="Times New Roman"/>
                <w:color w:val="000000"/>
                <w:sz w:val="24"/>
                <w:szCs w:val="24"/>
              </w:rPr>
              <w:t>2) fraude na execução contratual</w:t>
            </w:r>
          </w:p>
          <w:p w14:paraId="21858EB0" w14:textId="77777777" w:rsidR="00AD59CD" w:rsidRPr="00AD59CD" w:rsidRDefault="00AD59CD" w:rsidP="0024040C">
            <w:pPr>
              <w:pStyle w:val="Standard"/>
              <w:spacing w:before="57" w:after="57" w:line="360" w:lineRule="auto"/>
              <w:jc w:val="both"/>
              <w:rPr>
                <w:rFonts w:eastAsia="TTE4D8A148t00" w:cs="Times New Roman"/>
                <w:color w:val="000000"/>
                <w:sz w:val="24"/>
                <w:szCs w:val="24"/>
              </w:rPr>
            </w:pPr>
            <w:r w:rsidRPr="00AD59CD">
              <w:rPr>
                <w:rFonts w:eastAsia="TTE4D8A148t00" w:cs="Times New Roman"/>
                <w:color w:val="000000"/>
                <w:sz w:val="24"/>
                <w:szCs w:val="24"/>
              </w:rPr>
              <w:t>3) comportamento inidôneo</w:t>
            </w:r>
          </w:p>
          <w:p w14:paraId="1BBFC344" w14:textId="77777777" w:rsidR="00AD59CD" w:rsidRPr="00AD59CD" w:rsidRDefault="00AD59CD" w:rsidP="0024040C">
            <w:pPr>
              <w:pStyle w:val="Standard"/>
              <w:spacing w:before="57" w:after="57" w:line="360" w:lineRule="auto"/>
              <w:jc w:val="both"/>
              <w:rPr>
                <w:rFonts w:eastAsia="TTE4D8A148t00" w:cs="Times New Roman"/>
                <w:color w:val="000000"/>
                <w:sz w:val="24"/>
                <w:szCs w:val="24"/>
              </w:rPr>
            </w:pPr>
            <w:r w:rsidRPr="00AD59CD">
              <w:rPr>
                <w:rFonts w:eastAsia="TTE4D8A148t00" w:cs="Times New Roman"/>
                <w:color w:val="000000"/>
                <w:sz w:val="24"/>
                <w:szCs w:val="24"/>
              </w:rPr>
              <w:t>4) fraude fiscal</w:t>
            </w:r>
          </w:p>
          <w:p w14:paraId="26B2CC90" w14:textId="77777777" w:rsidR="00AD59CD" w:rsidRPr="00AD59CD" w:rsidRDefault="00AD59CD" w:rsidP="0024040C">
            <w:pPr>
              <w:pStyle w:val="Standard"/>
              <w:spacing w:before="57" w:after="57" w:line="360" w:lineRule="auto"/>
              <w:jc w:val="both"/>
              <w:rPr>
                <w:rFonts w:eastAsia="TTE4D8A148t00" w:cs="Times New Roman"/>
                <w:color w:val="000000"/>
                <w:sz w:val="24"/>
                <w:szCs w:val="24"/>
              </w:rPr>
            </w:pPr>
            <w:r w:rsidRPr="00AD59CD">
              <w:rPr>
                <w:rFonts w:eastAsia="TTE4D8A148t00" w:cs="Times New Roman"/>
                <w:color w:val="000000"/>
                <w:sz w:val="24"/>
                <w:szCs w:val="24"/>
              </w:rPr>
              <w:t>5) inexecução total do contrato</w:t>
            </w:r>
          </w:p>
        </w:tc>
        <w:tc>
          <w:tcPr>
            <w:tcW w:w="4820"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45E8761" w14:textId="77777777" w:rsidR="00AD59CD" w:rsidRPr="00AD59CD" w:rsidRDefault="00AD59CD" w:rsidP="0024040C">
            <w:pPr>
              <w:pStyle w:val="Standard"/>
              <w:autoSpaceDE w:val="0"/>
              <w:spacing w:before="57" w:after="57" w:line="360" w:lineRule="auto"/>
              <w:jc w:val="center"/>
              <w:rPr>
                <w:rFonts w:cs="Times New Roman"/>
                <w:sz w:val="24"/>
                <w:szCs w:val="24"/>
              </w:rPr>
            </w:pPr>
          </w:p>
          <w:p w14:paraId="297C70A0" w14:textId="77777777" w:rsidR="00AD59CD" w:rsidRPr="00AD59CD" w:rsidRDefault="00AD59CD" w:rsidP="0024040C">
            <w:pPr>
              <w:pStyle w:val="Standard"/>
              <w:autoSpaceDE w:val="0"/>
              <w:spacing w:before="57" w:after="57" w:line="360" w:lineRule="auto"/>
              <w:jc w:val="center"/>
              <w:rPr>
                <w:rFonts w:cs="Times New Roman"/>
                <w:sz w:val="24"/>
                <w:szCs w:val="24"/>
              </w:rPr>
            </w:pPr>
          </w:p>
          <w:p w14:paraId="25F9828B" w14:textId="77777777" w:rsidR="00AD59CD" w:rsidRPr="00AD59CD" w:rsidRDefault="00AD59CD" w:rsidP="0024040C">
            <w:pPr>
              <w:pStyle w:val="Standard"/>
              <w:autoSpaceDE w:val="0"/>
              <w:spacing w:before="57" w:after="57" w:line="360" w:lineRule="auto"/>
              <w:jc w:val="center"/>
              <w:rPr>
                <w:rFonts w:cs="Times New Roman"/>
                <w:sz w:val="24"/>
                <w:szCs w:val="24"/>
                <w:shd w:val="clear" w:color="auto" w:fill="FFFF00"/>
              </w:rPr>
            </w:pPr>
            <w:r w:rsidRPr="00AD59CD">
              <w:rPr>
                <w:rFonts w:cs="Times New Roman"/>
                <w:sz w:val="24"/>
                <w:szCs w:val="24"/>
                <w:shd w:val="clear" w:color="auto" w:fill="FFFFFF" w:themeFill="background1"/>
              </w:rPr>
              <w:t>Até 30% (trinta por cento)</w:t>
            </w:r>
          </w:p>
        </w:tc>
      </w:tr>
      <w:tr w:rsidR="00AD59CD" w:rsidRPr="00AD59CD" w14:paraId="281F411B" w14:textId="77777777" w:rsidTr="0024040C">
        <w:tc>
          <w:tcPr>
            <w:tcW w:w="4818" w:type="dxa"/>
            <w:tcBorders>
              <w:left w:val="single" w:sz="2" w:space="0" w:color="000000" w:themeColor="text1"/>
              <w:bottom w:val="single" w:sz="2" w:space="0" w:color="000000" w:themeColor="text1"/>
            </w:tcBorders>
            <w:tcMar>
              <w:top w:w="55" w:type="dxa"/>
              <w:left w:w="55" w:type="dxa"/>
              <w:bottom w:w="55" w:type="dxa"/>
              <w:right w:w="55" w:type="dxa"/>
            </w:tcMar>
          </w:tcPr>
          <w:p w14:paraId="7639A8E2" w14:textId="77777777" w:rsidR="00AD59CD" w:rsidRPr="00AD59CD" w:rsidRDefault="00AD59CD" w:rsidP="0024040C">
            <w:pPr>
              <w:pStyle w:val="Standard"/>
              <w:spacing w:before="57" w:after="57" w:line="360" w:lineRule="auto"/>
              <w:jc w:val="both"/>
              <w:rPr>
                <w:rFonts w:eastAsia="TTE4D8A148t00" w:cs="Times New Roman"/>
                <w:sz w:val="24"/>
                <w:szCs w:val="24"/>
              </w:rPr>
            </w:pPr>
            <w:r w:rsidRPr="00AD59CD">
              <w:rPr>
                <w:rFonts w:eastAsia="TTE4D8A148t00" w:cs="Times New Roman"/>
                <w:sz w:val="24"/>
                <w:szCs w:val="24"/>
              </w:rPr>
              <w:t>6) inexecução parcial</w:t>
            </w:r>
          </w:p>
          <w:p w14:paraId="1D10D3B9" w14:textId="77777777" w:rsidR="00AD59CD" w:rsidRPr="00AD59CD" w:rsidRDefault="00AD59CD" w:rsidP="0024040C">
            <w:pPr>
              <w:pStyle w:val="Standard"/>
              <w:spacing w:before="57" w:after="57" w:line="360" w:lineRule="auto"/>
              <w:jc w:val="both"/>
              <w:rPr>
                <w:rFonts w:eastAsia="TTE4D8A148t00" w:cs="Times New Roman"/>
                <w:sz w:val="24"/>
                <w:szCs w:val="24"/>
              </w:rPr>
            </w:pPr>
            <w:r w:rsidRPr="00AD59CD">
              <w:rPr>
                <w:rFonts w:eastAsia="TTE4D8A148t00" w:cs="Times New Roman"/>
                <w:sz w:val="24"/>
                <w:szCs w:val="24"/>
              </w:rPr>
              <w:t>7) descumprimento de obrigação contratual</w:t>
            </w:r>
          </w:p>
        </w:tc>
        <w:tc>
          <w:tcPr>
            <w:tcW w:w="4820" w:type="dxa"/>
            <w:tcBorders>
              <w:left w:val="single" w:sz="2" w:space="0" w:color="000000" w:themeColor="text1"/>
              <w:bottom w:val="single" w:sz="2" w:space="0" w:color="000000" w:themeColor="text1"/>
              <w:right w:val="single" w:sz="2" w:space="0" w:color="000000" w:themeColor="text1"/>
            </w:tcBorders>
            <w:shd w:val="clear" w:color="auto" w:fill="FFFFFF" w:themeFill="background1"/>
            <w:tcMar>
              <w:top w:w="55" w:type="dxa"/>
              <w:left w:w="55" w:type="dxa"/>
              <w:bottom w:w="55" w:type="dxa"/>
              <w:right w:w="55" w:type="dxa"/>
            </w:tcMar>
          </w:tcPr>
          <w:p w14:paraId="29973028" w14:textId="77777777" w:rsidR="00AD59CD" w:rsidRPr="00AD59CD" w:rsidRDefault="00AD59CD" w:rsidP="0024040C">
            <w:pPr>
              <w:pStyle w:val="Standard"/>
              <w:autoSpaceDE w:val="0"/>
              <w:spacing w:before="57" w:after="57" w:line="360" w:lineRule="auto"/>
              <w:jc w:val="center"/>
              <w:rPr>
                <w:rFonts w:eastAsia="TTE4D8A148t00" w:cs="Times New Roman"/>
                <w:sz w:val="24"/>
                <w:szCs w:val="24"/>
                <w:shd w:val="clear" w:color="auto" w:fill="FFFF00"/>
              </w:rPr>
            </w:pPr>
            <w:r w:rsidRPr="00AD59CD">
              <w:rPr>
                <w:rFonts w:eastAsia="TTE4D8A148t00" w:cs="Times New Roman"/>
                <w:sz w:val="24"/>
                <w:szCs w:val="24"/>
                <w:shd w:val="clear" w:color="auto" w:fill="FFFFFF" w:themeFill="background1"/>
              </w:rPr>
              <w:t>Até 20% (vinte por cento)</w:t>
            </w:r>
          </w:p>
        </w:tc>
      </w:tr>
    </w:tbl>
    <w:p w14:paraId="521162BA" w14:textId="77777777" w:rsidR="00AD59CD" w:rsidRPr="00AD59CD" w:rsidRDefault="00AD59CD" w:rsidP="00AD59CD">
      <w:pPr>
        <w:rPr>
          <w:rFonts w:cs="Times New Roman"/>
        </w:rPr>
      </w:pPr>
    </w:p>
    <w:p w14:paraId="00056313" w14:textId="77777777" w:rsidR="00AD59CD" w:rsidRPr="00AD59CD" w:rsidRDefault="00AD59CD" w:rsidP="00AD59CD">
      <w:pPr>
        <w:pStyle w:val="Standard"/>
        <w:tabs>
          <w:tab w:val="left" w:pos="70"/>
        </w:tabs>
        <w:spacing w:before="57" w:after="57" w:line="360" w:lineRule="auto"/>
        <w:jc w:val="both"/>
        <w:rPr>
          <w:rFonts w:eastAsia="Lucida Sans Unicode" w:cs="Times New Roman"/>
          <w:b/>
          <w:bCs/>
          <w:sz w:val="24"/>
          <w:szCs w:val="24"/>
          <w:lang w:eastAsia="en-US"/>
        </w:rPr>
      </w:pPr>
    </w:p>
    <w:p w14:paraId="69B679C9" w14:textId="77777777" w:rsidR="00AD59CD" w:rsidRPr="00AD59CD" w:rsidRDefault="00AD59CD" w:rsidP="00A16FF6">
      <w:pPr>
        <w:pStyle w:val="Standard"/>
        <w:numPr>
          <w:ilvl w:val="1"/>
          <w:numId w:val="31"/>
        </w:numPr>
        <w:tabs>
          <w:tab w:val="left" w:pos="70"/>
        </w:tabs>
        <w:autoSpaceDN w:val="0"/>
        <w:spacing w:before="57" w:after="57" w:line="360" w:lineRule="auto"/>
        <w:jc w:val="both"/>
        <w:rPr>
          <w:rFonts w:eastAsia="Lucida Sans Unicode" w:cs="Times New Roman"/>
          <w:sz w:val="24"/>
          <w:szCs w:val="24"/>
          <w:lang w:eastAsia="en-US"/>
        </w:rPr>
      </w:pPr>
      <w:r w:rsidRPr="00AD59CD">
        <w:rPr>
          <w:rFonts w:eastAsia="Lucida Sans Unicode" w:cs="Times New Roman"/>
          <w:sz w:val="24"/>
          <w:szCs w:val="24"/>
          <w:lang w:eastAsia="en-US"/>
        </w:rPr>
        <w:t>Além dessas, serão aplicadas multas, conforme as infrações cometidas e o nível de gravidade respectivo, indicados nas tabelas a seguir:</w:t>
      </w:r>
    </w:p>
    <w:p w14:paraId="37ECCEC8" w14:textId="77777777" w:rsidR="00AD59CD" w:rsidRPr="00564C1D" w:rsidRDefault="00AD59CD" w:rsidP="00AD59CD">
      <w:pPr>
        <w:pStyle w:val="Standard"/>
        <w:autoSpaceDE w:val="0"/>
        <w:spacing w:before="57" w:after="57" w:line="360" w:lineRule="auto"/>
        <w:jc w:val="center"/>
        <w:rPr>
          <w:rFonts w:eastAsia="TTE4D8A148t00" w:cs="Times New Roman"/>
          <w:sz w:val="24"/>
          <w:szCs w:val="24"/>
        </w:rPr>
      </w:pPr>
    </w:p>
    <w:p w14:paraId="186B0278" w14:textId="7ADCC278" w:rsidR="00AD59CD" w:rsidRPr="00AD59CD" w:rsidRDefault="00AD59CD" w:rsidP="00AD59CD">
      <w:pPr>
        <w:pStyle w:val="Standard"/>
        <w:autoSpaceDE w:val="0"/>
        <w:spacing w:before="57" w:after="57" w:line="360" w:lineRule="auto"/>
        <w:jc w:val="center"/>
        <w:rPr>
          <w:rFonts w:cs="Times New Roman"/>
          <w:sz w:val="24"/>
          <w:szCs w:val="24"/>
        </w:rPr>
      </w:pPr>
      <w:r w:rsidRPr="00AD59CD">
        <w:rPr>
          <w:rFonts w:eastAsia="TTE4D8A148t00" w:cs="Times New Roman"/>
          <w:b/>
          <w:bCs/>
          <w:sz w:val="24"/>
          <w:szCs w:val="24"/>
        </w:rPr>
        <w:t>Tabela 2: Classificação das infrações e multas</w:t>
      </w:r>
      <w:r w:rsidRPr="00AD59CD">
        <w:rPr>
          <w:rFonts w:cs="Times New Roman"/>
          <w:sz w:val="24"/>
          <w:szCs w:val="24"/>
        </w:rPr>
        <w:tab/>
      </w:r>
    </w:p>
    <w:tbl>
      <w:tblPr>
        <w:tblW w:w="6295" w:type="dxa"/>
        <w:tblInd w:w="1513" w:type="dxa"/>
        <w:tblLayout w:type="fixed"/>
        <w:tblCellMar>
          <w:left w:w="10" w:type="dxa"/>
          <w:right w:w="10" w:type="dxa"/>
        </w:tblCellMar>
        <w:tblLook w:val="0000" w:firstRow="0" w:lastRow="0" w:firstColumn="0" w:lastColumn="0" w:noHBand="0" w:noVBand="0"/>
      </w:tblPr>
      <w:tblGrid>
        <w:gridCol w:w="2484"/>
        <w:gridCol w:w="3811"/>
      </w:tblGrid>
      <w:tr w:rsidR="00AD59CD" w:rsidRPr="00AD59CD" w14:paraId="5FC1534B" w14:textId="77777777" w:rsidTr="0024040C">
        <w:tc>
          <w:tcPr>
            <w:tcW w:w="2484" w:type="dxa"/>
            <w:tcBorders>
              <w:top w:val="single" w:sz="2" w:space="0" w:color="000000" w:themeColor="text1"/>
              <w:left w:val="single" w:sz="2" w:space="0" w:color="000000" w:themeColor="text1"/>
              <w:bottom w:val="single" w:sz="2" w:space="0" w:color="000000" w:themeColor="text1"/>
            </w:tcBorders>
            <w:shd w:val="clear" w:color="auto" w:fill="999999"/>
            <w:tcMar>
              <w:top w:w="55" w:type="dxa"/>
              <w:left w:w="55" w:type="dxa"/>
              <w:bottom w:w="55" w:type="dxa"/>
              <w:right w:w="55" w:type="dxa"/>
            </w:tcMar>
          </w:tcPr>
          <w:p w14:paraId="5C4A6CE4" w14:textId="77777777" w:rsidR="00AD59CD" w:rsidRPr="00AD59CD" w:rsidRDefault="00AD59CD" w:rsidP="0024040C">
            <w:pPr>
              <w:pStyle w:val="Standard"/>
              <w:shd w:val="clear" w:color="auto" w:fill="999999"/>
              <w:spacing w:before="57" w:after="57" w:line="360" w:lineRule="auto"/>
              <w:jc w:val="center"/>
              <w:rPr>
                <w:rFonts w:cs="Times New Roman"/>
                <w:b/>
                <w:bCs/>
                <w:sz w:val="24"/>
                <w:szCs w:val="24"/>
              </w:rPr>
            </w:pPr>
            <w:r w:rsidRPr="00AD59CD">
              <w:rPr>
                <w:rFonts w:cs="Times New Roman"/>
                <w:b/>
                <w:bCs/>
                <w:sz w:val="24"/>
                <w:szCs w:val="24"/>
              </w:rPr>
              <w:t>NÍVEL</w:t>
            </w:r>
          </w:p>
        </w:tc>
        <w:tc>
          <w:tcPr>
            <w:tcW w:w="381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2E40429E" w14:textId="77777777" w:rsidR="00AD59CD" w:rsidRPr="00AD59CD" w:rsidRDefault="00AD59CD" w:rsidP="0024040C">
            <w:pPr>
              <w:pStyle w:val="Standard"/>
              <w:suppressLineNumbers/>
              <w:shd w:val="clear" w:color="auto" w:fill="999999"/>
              <w:spacing w:before="57" w:after="57" w:line="360" w:lineRule="auto"/>
              <w:jc w:val="center"/>
              <w:rPr>
                <w:rFonts w:cs="Times New Roman"/>
                <w:b/>
                <w:bCs/>
                <w:sz w:val="24"/>
                <w:szCs w:val="24"/>
              </w:rPr>
            </w:pPr>
            <w:r w:rsidRPr="00AD59CD">
              <w:rPr>
                <w:rFonts w:cs="Times New Roman"/>
                <w:b/>
                <w:bCs/>
                <w:sz w:val="24"/>
                <w:szCs w:val="24"/>
              </w:rPr>
              <w:t>CORRESPONDÊNCIA</w:t>
            </w:r>
          </w:p>
          <w:p w14:paraId="72486E6D" w14:textId="77777777" w:rsidR="00AD59CD" w:rsidRPr="00AD59CD" w:rsidRDefault="00AD59CD" w:rsidP="0024040C">
            <w:pPr>
              <w:pStyle w:val="Standard"/>
              <w:suppressLineNumbers/>
              <w:shd w:val="clear" w:color="auto" w:fill="999999"/>
              <w:spacing w:before="57" w:after="57" w:line="360" w:lineRule="auto"/>
              <w:jc w:val="center"/>
              <w:rPr>
                <w:rFonts w:cs="Times New Roman"/>
                <w:sz w:val="24"/>
                <w:szCs w:val="24"/>
              </w:rPr>
            </w:pPr>
            <w:r w:rsidRPr="00AD59CD">
              <w:rPr>
                <w:rFonts w:cs="Times New Roman"/>
                <w:sz w:val="24"/>
                <w:szCs w:val="24"/>
              </w:rPr>
              <w:t>(por ocorrência sobre o valor global do CONTRATO)</w:t>
            </w:r>
          </w:p>
        </w:tc>
      </w:tr>
      <w:tr w:rsidR="00AD59CD" w:rsidRPr="00AD59CD" w14:paraId="06389CC6" w14:textId="77777777" w:rsidTr="0024040C">
        <w:tc>
          <w:tcPr>
            <w:tcW w:w="2484" w:type="dxa"/>
            <w:tcBorders>
              <w:left w:val="single" w:sz="2" w:space="0" w:color="000000" w:themeColor="text1"/>
              <w:bottom w:val="single" w:sz="2" w:space="0" w:color="000000" w:themeColor="text1"/>
            </w:tcBorders>
            <w:tcMar>
              <w:top w:w="55" w:type="dxa"/>
              <w:left w:w="55" w:type="dxa"/>
              <w:bottom w:w="55" w:type="dxa"/>
              <w:right w:w="55" w:type="dxa"/>
            </w:tcMar>
          </w:tcPr>
          <w:p w14:paraId="16A53C4A" w14:textId="77777777" w:rsidR="00AD59CD" w:rsidRPr="00AD59CD" w:rsidRDefault="00AD59CD" w:rsidP="0024040C">
            <w:pPr>
              <w:pStyle w:val="Standard"/>
              <w:suppressLineNumbers/>
              <w:spacing w:before="57" w:after="57" w:line="360" w:lineRule="auto"/>
              <w:jc w:val="center"/>
              <w:rPr>
                <w:rFonts w:cs="Times New Roman"/>
                <w:sz w:val="24"/>
                <w:szCs w:val="24"/>
              </w:rPr>
            </w:pPr>
            <w:r w:rsidRPr="00AD59CD">
              <w:rPr>
                <w:rFonts w:cs="Times New Roman"/>
                <w:sz w:val="24"/>
                <w:szCs w:val="24"/>
              </w:rPr>
              <w:t>1 (menor ofensividade)</w:t>
            </w:r>
          </w:p>
        </w:tc>
        <w:tc>
          <w:tcPr>
            <w:tcW w:w="3811" w:type="dxa"/>
            <w:tcBorders>
              <w:left w:val="single" w:sz="2" w:space="0" w:color="000000" w:themeColor="text1"/>
              <w:bottom w:val="single" w:sz="2" w:space="0" w:color="000000" w:themeColor="text1"/>
              <w:right w:val="single" w:sz="2" w:space="0" w:color="000000" w:themeColor="text1"/>
            </w:tcBorders>
            <w:shd w:val="clear" w:color="auto" w:fill="FFFFFF" w:themeFill="background1"/>
            <w:tcMar>
              <w:top w:w="55" w:type="dxa"/>
              <w:left w:w="55" w:type="dxa"/>
              <w:bottom w:w="55" w:type="dxa"/>
              <w:right w:w="55" w:type="dxa"/>
            </w:tcMar>
          </w:tcPr>
          <w:p w14:paraId="5C06A6C4" w14:textId="77777777" w:rsidR="00AD59CD" w:rsidRPr="00AD59CD" w:rsidRDefault="00AD59CD" w:rsidP="0024040C">
            <w:pPr>
              <w:pStyle w:val="Standard"/>
              <w:suppressLineNumbers/>
              <w:spacing w:before="57" w:after="57" w:line="360" w:lineRule="auto"/>
              <w:jc w:val="center"/>
              <w:rPr>
                <w:rFonts w:cs="Times New Roman"/>
                <w:sz w:val="24"/>
                <w:szCs w:val="24"/>
                <w:shd w:val="clear" w:color="auto" w:fill="FFFF00"/>
              </w:rPr>
            </w:pPr>
            <w:r w:rsidRPr="00AD59CD">
              <w:rPr>
                <w:rFonts w:cs="Times New Roman"/>
                <w:sz w:val="24"/>
                <w:szCs w:val="24"/>
                <w:shd w:val="clear" w:color="auto" w:fill="FFFFFF" w:themeFill="background1"/>
              </w:rPr>
              <w:t>0,2%</w:t>
            </w:r>
          </w:p>
        </w:tc>
      </w:tr>
      <w:tr w:rsidR="00AD59CD" w:rsidRPr="00AD59CD" w14:paraId="2D4C519E" w14:textId="77777777" w:rsidTr="0024040C">
        <w:tc>
          <w:tcPr>
            <w:tcW w:w="2484" w:type="dxa"/>
            <w:tcBorders>
              <w:left w:val="single" w:sz="2" w:space="0" w:color="000000" w:themeColor="text1"/>
              <w:bottom w:val="single" w:sz="2" w:space="0" w:color="000000" w:themeColor="text1"/>
            </w:tcBorders>
            <w:tcMar>
              <w:top w:w="55" w:type="dxa"/>
              <w:left w:w="55" w:type="dxa"/>
              <w:bottom w:w="55" w:type="dxa"/>
              <w:right w:w="55" w:type="dxa"/>
            </w:tcMar>
          </w:tcPr>
          <w:p w14:paraId="44E31D2A" w14:textId="77777777" w:rsidR="00AD59CD" w:rsidRPr="00AD59CD" w:rsidRDefault="00AD59CD" w:rsidP="0024040C">
            <w:pPr>
              <w:pStyle w:val="Standard"/>
              <w:spacing w:before="57" w:after="57" w:line="360" w:lineRule="auto"/>
              <w:jc w:val="center"/>
              <w:rPr>
                <w:rFonts w:cs="Times New Roman"/>
                <w:sz w:val="24"/>
                <w:szCs w:val="24"/>
              </w:rPr>
            </w:pPr>
            <w:r w:rsidRPr="00AD59CD">
              <w:rPr>
                <w:rFonts w:cs="Times New Roman"/>
                <w:sz w:val="24"/>
                <w:szCs w:val="24"/>
              </w:rPr>
              <w:t>2 (leve)</w:t>
            </w:r>
          </w:p>
        </w:tc>
        <w:tc>
          <w:tcPr>
            <w:tcW w:w="3811" w:type="dxa"/>
            <w:tcBorders>
              <w:left w:val="single" w:sz="2" w:space="0" w:color="000000" w:themeColor="text1"/>
              <w:bottom w:val="single" w:sz="2" w:space="0" w:color="000000" w:themeColor="text1"/>
              <w:right w:val="single" w:sz="2" w:space="0" w:color="000000" w:themeColor="text1"/>
            </w:tcBorders>
            <w:shd w:val="clear" w:color="auto" w:fill="FFFFFF" w:themeFill="background1"/>
            <w:tcMar>
              <w:top w:w="55" w:type="dxa"/>
              <w:left w:w="55" w:type="dxa"/>
              <w:bottom w:w="55" w:type="dxa"/>
              <w:right w:w="55" w:type="dxa"/>
            </w:tcMar>
          </w:tcPr>
          <w:p w14:paraId="57E2A7CD" w14:textId="77777777" w:rsidR="00AD59CD" w:rsidRPr="00AD59CD" w:rsidRDefault="00AD59CD" w:rsidP="0024040C">
            <w:pPr>
              <w:pStyle w:val="Standard"/>
              <w:suppressLineNumbers/>
              <w:spacing w:before="57" w:after="57" w:line="360" w:lineRule="auto"/>
              <w:jc w:val="center"/>
              <w:rPr>
                <w:rFonts w:cs="Times New Roman"/>
                <w:sz w:val="24"/>
                <w:szCs w:val="24"/>
                <w:shd w:val="clear" w:color="auto" w:fill="FFFF00"/>
              </w:rPr>
            </w:pPr>
            <w:r w:rsidRPr="00AD59CD">
              <w:rPr>
                <w:rFonts w:cs="Times New Roman"/>
                <w:sz w:val="24"/>
                <w:szCs w:val="24"/>
                <w:shd w:val="clear" w:color="auto" w:fill="FFFFFF" w:themeFill="background1"/>
              </w:rPr>
              <w:t>0,4%</w:t>
            </w:r>
          </w:p>
        </w:tc>
      </w:tr>
      <w:tr w:rsidR="00AD59CD" w:rsidRPr="00AD59CD" w14:paraId="0F49D51E" w14:textId="77777777" w:rsidTr="0024040C">
        <w:tc>
          <w:tcPr>
            <w:tcW w:w="2484" w:type="dxa"/>
            <w:tcBorders>
              <w:left w:val="single" w:sz="2" w:space="0" w:color="000000" w:themeColor="text1"/>
              <w:bottom w:val="single" w:sz="2" w:space="0" w:color="000000" w:themeColor="text1"/>
            </w:tcBorders>
            <w:tcMar>
              <w:top w:w="55" w:type="dxa"/>
              <w:left w:w="55" w:type="dxa"/>
              <w:bottom w:w="55" w:type="dxa"/>
              <w:right w:w="55" w:type="dxa"/>
            </w:tcMar>
          </w:tcPr>
          <w:p w14:paraId="63E3F4AF" w14:textId="77777777" w:rsidR="00AD59CD" w:rsidRPr="00AD59CD" w:rsidRDefault="00AD59CD" w:rsidP="0024040C">
            <w:pPr>
              <w:pStyle w:val="Standard"/>
              <w:spacing w:before="57" w:after="57" w:line="360" w:lineRule="auto"/>
              <w:jc w:val="center"/>
              <w:rPr>
                <w:rFonts w:cs="Times New Roman"/>
                <w:sz w:val="24"/>
                <w:szCs w:val="24"/>
              </w:rPr>
            </w:pPr>
            <w:r w:rsidRPr="00AD59CD">
              <w:rPr>
                <w:rFonts w:cs="Times New Roman"/>
                <w:sz w:val="24"/>
                <w:szCs w:val="24"/>
              </w:rPr>
              <w:t>3 (médio)</w:t>
            </w:r>
          </w:p>
        </w:tc>
        <w:tc>
          <w:tcPr>
            <w:tcW w:w="3811" w:type="dxa"/>
            <w:tcBorders>
              <w:left w:val="single" w:sz="2" w:space="0" w:color="000000" w:themeColor="text1"/>
              <w:bottom w:val="single" w:sz="2" w:space="0" w:color="000000" w:themeColor="text1"/>
              <w:right w:val="single" w:sz="2" w:space="0" w:color="000000" w:themeColor="text1"/>
            </w:tcBorders>
            <w:shd w:val="clear" w:color="auto" w:fill="FFFFFF" w:themeFill="background1"/>
            <w:tcMar>
              <w:top w:w="55" w:type="dxa"/>
              <w:left w:w="55" w:type="dxa"/>
              <w:bottom w:w="55" w:type="dxa"/>
              <w:right w:w="55" w:type="dxa"/>
            </w:tcMar>
          </w:tcPr>
          <w:p w14:paraId="3B2ED90F" w14:textId="77777777" w:rsidR="00AD59CD" w:rsidRPr="00AD59CD" w:rsidRDefault="00AD59CD" w:rsidP="0024040C">
            <w:pPr>
              <w:pStyle w:val="Standard"/>
              <w:suppressLineNumbers/>
              <w:spacing w:before="57" w:after="57" w:line="360" w:lineRule="auto"/>
              <w:jc w:val="center"/>
              <w:rPr>
                <w:rFonts w:cs="Times New Roman"/>
                <w:sz w:val="24"/>
                <w:szCs w:val="24"/>
                <w:shd w:val="clear" w:color="auto" w:fill="FFFF00"/>
              </w:rPr>
            </w:pPr>
            <w:r w:rsidRPr="00AD59CD">
              <w:rPr>
                <w:rFonts w:cs="Times New Roman"/>
                <w:sz w:val="24"/>
                <w:szCs w:val="24"/>
                <w:shd w:val="clear" w:color="auto" w:fill="FFFFFF" w:themeFill="background1"/>
              </w:rPr>
              <w:t>0,8%</w:t>
            </w:r>
          </w:p>
        </w:tc>
      </w:tr>
      <w:tr w:rsidR="00AD59CD" w:rsidRPr="00AD59CD" w14:paraId="6F9D6EEA" w14:textId="77777777" w:rsidTr="0024040C">
        <w:tc>
          <w:tcPr>
            <w:tcW w:w="2484" w:type="dxa"/>
            <w:tcBorders>
              <w:left w:val="single" w:sz="2" w:space="0" w:color="000000" w:themeColor="text1"/>
              <w:bottom w:val="single" w:sz="2" w:space="0" w:color="000000" w:themeColor="text1"/>
            </w:tcBorders>
            <w:tcMar>
              <w:top w:w="55" w:type="dxa"/>
              <w:left w:w="55" w:type="dxa"/>
              <w:bottom w:w="55" w:type="dxa"/>
              <w:right w:w="55" w:type="dxa"/>
            </w:tcMar>
          </w:tcPr>
          <w:p w14:paraId="1E818A03" w14:textId="77777777" w:rsidR="00AD59CD" w:rsidRPr="00AD59CD" w:rsidRDefault="00AD59CD" w:rsidP="0024040C">
            <w:pPr>
              <w:pStyle w:val="Standard"/>
              <w:spacing w:before="57" w:after="57" w:line="360" w:lineRule="auto"/>
              <w:jc w:val="center"/>
              <w:rPr>
                <w:rFonts w:cs="Times New Roman"/>
                <w:sz w:val="24"/>
                <w:szCs w:val="24"/>
              </w:rPr>
            </w:pPr>
            <w:r w:rsidRPr="00AD59CD">
              <w:rPr>
                <w:rFonts w:cs="Times New Roman"/>
                <w:sz w:val="24"/>
                <w:szCs w:val="24"/>
              </w:rPr>
              <w:t>4 (grave)</w:t>
            </w:r>
          </w:p>
        </w:tc>
        <w:tc>
          <w:tcPr>
            <w:tcW w:w="3811" w:type="dxa"/>
            <w:tcBorders>
              <w:left w:val="single" w:sz="2" w:space="0" w:color="000000" w:themeColor="text1"/>
              <w:bottom w:val="single" w:sz="2" w:space="0" w:color="000000" w:themeColor="text1"/>
              <w:right w:val="single" w:sz="2" w:space="0" w:color="000000" w:themeColor="text1"/>
            </w:tcBorders>
            <w:shd w:val="clear" w:color="auto" w:fill="FFFFFF" w:themeFill="background1"/>
            <w:tcMar>
              <w:top w:w="55" w:type="dxa"/>
              <w:left w:w="55" w:type="dxa"/>
              <w:bottom w:w="55" w:type="dxa"/>
              <w:right w:w="55" w:type="dxa"/>
            </w:tcMar>
          </w:tcPr>
          <w:p w14:paraId="6A984BB6" w14:textId="77777777" w:rsidR="00AD59CD" w:rsidRPr="00AD59CD" w:rsidRDefault="00AD59CD" w:rsidP="0024040C">
            <w:pPr>
              <w:pStyle w:val="Standard"/>
              <w:suppressLineNumbers/>
              <w:spacing w:before="57" w:after="57" w:line="360" w:lineRule="auto"/>
              <w:jc w:val="center"/>
              <w:rPr>
                <w:rFonts w:cs="Times New Roman"/>
                <w:sz w:val="24"/>
                <w:szCs w:val="24"/>
                <w:shd w:val="clear" w:color="auto" w:fill="FFFF00"/>
              </w:rPr>
            </w:pPr>
            <w:r w:rsidRPr="00AD59CD">
              <w:rPr>
                <w:rFonts w:cs="Times New Roman"/>
                <w:sz w:val="24"/>
                <w:szCs w:val="24"/>
                <w:shd w:val="clear" w:color="auto" w:fill="FFFFFF" w:themeFill="background1"/>
              </w:rPr>
              <w:t>1,6%</w:t>
            </w:r>
          </w:p>
        </w:tc>
      </w:tr>
      <w:tr w:rsidR="00AD59CD" w:rsidRPr="00AD59CD" w14:paraId="74E01971" w14:textId="77777777" w:rsidTr="0024040C">
        <w:tc>
          <w:tcPr>
            <w:tcW w:w="2484" w:type="dxa"/>
            <w:tcBorders>
              <w:left w:val="single" w:sz="2" w:space="0" w:color="000000" w:themeColor="text1"/>
              <w:bottom w:val="single" w:sz="2" w:space="0" w:color="000000" w:themeColor="text1"/>
            </w:tcBorders>
            <w:tcMar>
              <w:top w:w="55" w:type="dxa"/>
              <w:left w:w="55" w:type="dxa"/>
              <w:bottom w:w="55" w:type="dxa"/>
              <w:right w:w="55" w:type="dxa"/>
            </w:tcMar>
          </w:tcPr>
          <w:p w14:paraId="05B4F322" w14:textId="77777777" w:rsidR="00AD59CD" w:rsidRPr="00AD59CD" w:rsidRDefault="00AD59CD" w:rsidP="0024040C">
            <w:pPr>
              <w:pStyle w:val="Standard"/>
              <w:spacing w:before="57" w:after="57" w:line="360" w:lineRule="auto"/>
              <w:jc w:val="center"/>
              <w:rPr>
                <w:rFonts w:cs="Times New Roman"/>
                <w:sz w:val="24"/>
                <w:szCs w:val="24"/>
              </w:rPr>
            </w:pPr>
            <w:r w:rsidRPr="00AD59CD">
              <w:rPr>
                <w:rFonts w:cs="Times New Roman"/>
                <w:sz w:val="24"/>
                <w:szCs w:val="24"/>
              </w:rPr>
              <w:lastRenderedPageBreak/>
              <w:t>5 (muito grave)</w:t>
            </w:r>
          </w:p>
        </w:tc>
        <w:tc>
          <w:tcPr>
            <w:tcW w:w="3811" w:type="dxa"/>
            <w:tcBorders>
              <w:left w:val="single" w:sz="2" w:space="0" w:color="000000" w:themeColor="text1"/>
              <w:bottom w:val="single" w:sz="2" w:space="0" w:color="000000" w:themeColor="text1"/>
              <w:right w:val="single" w:sz="2" w:space="0" w:color="000000" w:themeColor="text1"/>
            </w:tcBorders>
            <w:shd w:val="clear" w:color="auto" w:fill="FFFFFF" w:themeFill="background1"/>
            <w:tcMar>
              <w:top w:w="55" w:type="dxa"/>
              <w:left w:w="55" w:type="dxa"/>
              <w:bottom w:w="55" w:type="dxa"/>
              <w:right w:w="55" w:type="dxa"/>
            </w:tcMar>
          </w:tcPr>
          <w:p w14:paraId="09E01707" w14:textId="77777777" w:rsidR="00AD59CD" w:rsidRPr="00AD59CD" w:rsidRDefault="00AD59CD" w:rsidP="0024040C">
            <w:pPr>
              <w:pStyle w:val="Standard"/>
              <w:suppressLineNumbers/>
              <w:spacing w:before="57" w:after="57" w:line="360" w:lineRule="auto"/>
              <w:jc w:val="center"/>
              <w:rPr>
                <w:rFonts w:cs="Times New Roman"/>
                <w:sz w:val="24"/>
                <w:szCs w:val="24"/>
                <w:shd w:val="clear" w:color="auto" w:fill="FFFF00"/>
              </w:rPr>
            </w:pPr>
            <w:r w:rsidRPr="00AD59CD">
              <w:rPr>
                <w:rFonts w:cs="Times New Roman"/>
                <w:sz w:val="24"/>
                <w:szCs w:val="24"/>
                <w:shd w:val="clear" w:color="auto" w:fill="FFFFFF" w:themeFill="background1"/>
              </w:rPr>
              <w:t>3,2%</w:t>
            </w:r>
          </w:p>
        </w:tc>
      </w:tr>
      <w:tr w:rsidR="00AD59CD" w:rsidRPr="00AD59CD" w14:paraId="6F88F64F" w14:textId="77777777" w:rsidTr="0024040C">
        <w:tc>
          <w:tcPr>
            <w:tcW w:w="2484" w:type="dxa"/>
            <w:tcBorders>
              <w:left w:val="single" w:sz="2" w:space="0" w:color="000000" w:themeColor="text1"/>
              <w:bottom w:val="single" w:sz="2" w:space="0" w:color="000000" w:themeColor="text1"/>
            </w:tcBorders>
            <w:tcMar>
              <w:top w:w="55" w:type="dxa"/>
              <w:left w:w="55" w:type="dxa"/>
              <w:bottom w:w="55" w:type="dxa"/>
              <w:right w:w="55" w:type="dxa"/>
            </w:tcMar>
          </w:tcPr>
          <w:p w14:paraId="543D0334" w14:textId="77777777" w:rsidR="00AD59CD" w:rsidRPr="00AD59CD" w:rsidRDefault="00AD59CD" w:rsidP="0024040C">
            <w:pPr>
              <w:pStyle w:val="Standard"/>
              <w:spacing w:before="57" w:after="57" w:line="360" w:lineRule="auto"/>
              <w:jc w:val="center"/>
              <w:rPr>
                <w:rFonts w:cs="Times New Roman"/>
                <w:sz w:val="24"/>
                <w:szCs w:val="24"/>
              </w:rPr>
            </w:pPr>
            <w:r w:rsidRPr="00AD59CD">
              <w:rPr>
                <w:rFonts w:cs="Times New Roman"/>
                <w:sz w:val="24"/>
                <w:szCs w:val="24"/>
              </w:rPr>
              <w:t>6 (gravíssimo)</w:t>
            </w:r>
          </w:p>
        </w:tc>
        <w:tc>
          <w:tcPr>
            <w:tcW w:w="3811" w:type="dxa"/>
            <w:tcBorders>
              <w:left w:val="single" w:sz="2" w:space="0" w:color="000000" w:themeColor="text1"/>
              <w:bottom w:val="single" w:sz="2" w:space="0" w:color="000000" w:themeColor="text1"/>
              <w:right w:val="single" w:sz="2" w:space="0" w:color="000000" w:themeColor="text1"/>
            </w:tcBorders>
            <w:shd w:val="clear" w:color="auto" w:fill="FFFFFF" w:themeFill="background1"/>
            <w:tcMar>
              <w:top w:w="55" w:type="dxa"/>
              <w:left w:w="55" w:type="dxa"/>
              <w:bottom w:w="55" w:type="dxa"/>
              <w:right w:w="55" w:type="dxa"/>
            </w:tcMar>
          </w:tcPr>
          <w:p w14:paraId="43B0C52C" w14:textId="77777777" w:rsidR="00AD59CD" w:rsidRPr="00AD59CD" w:rsidRDefault="00AD59CD" w:rsidP="0024040C">
            <w:pPr>
              <w:pStyle w:val="Standard"/>
              <w:suppressLineNumbers/>
              <w:spacing w:before="57" w:after="57" w:line="360" w:lineRule="auto"/>
              <w:jc w:val="center"/>
              <w:rPr>
                <w:rFonts w:cs="Times New Roman"/>
                <w:sz w:val="24"/>
                <w:szCs w:val="24"/>
                <w:shd w:val="clear" w:color="auto" w:fill="FFFF00"/>
              </w:rPr>
            </w:pPr>
            <w:r w:rsidRPr="00AD59CD">
              <w:rPr>
                <w:rFonts w:cs="Times New Roman"/>
                <w:sz w:val="24"/>
                <w:szCs w:val="24"/>
                <w:shd w:val="clear" w:color="auto" w:fill="FFFFFF" w:themeFill="background1"/>
              </w:rPr>
              <w:t>4%</w:t>
            </w:r>
          </w:p>
        </w:tc>
      </w:tr>
    </w:tbl>
    <w:p w14:paraId="745E1FEB" w14:textId="77777777" w:rsidR="00AD59CD" w:rsidRPr="00AD59CD" w:rsidRDefault="00AD59CD" w:rsidP="00AD59CD">
      <w:pPr>
        <w:rPr>
          <w:rFonts w:cs="Times New Roman"/>
        </w:rPr>
      </w:pPr>
    </w:p>
    <w:p w14:paraId="768F4D18" w14:textId="322FEF61" w:rsidR="00AD59CD" w:rsidRPr="00564C1D" w:rsidRDefault="00AD59CD" w:rsidP="00A16FF6">
      <w:pPr>
        <w:pStyle w:val="Standard"/>
        <w:widowControl w:val="0"/>
        <w:numPr>
          <w:ilvl w:val="1"/>
          <w:numId w:val="31"/>
        </w:numPr>
        <w:autoSpaceDE w:val="0"/>
        <w:autoSpaceDN w:val="0"/>
        <w:spacing w:before="57" w:after="57" w:line="360" w:lineRule="auto"/>
        <w:jc w:val="both"/>
        <w:rPr>
          <w:rFonts w:cs="Times New Roman"/>
          <w:sz w:val="24"/>
          <w:szCs w:val="24"/>
        </w:rPr>
      </w:pPr>
      <w:r w:rsidRPr="00564C1D">
        <w:rPr>
          <w:rFonts w:eastAsia="TTE4D8A148t00" w:cs="Times New Roman"/>
          <w:sz w:val="24"/>
          <w:szCs w:val="24"/>
        </w:rPr>
        <w:t>Todas as ocorrências contratuais serão registradas pelo CONTRANTE, que notificará a CONTRATADA dos registros. Serão atribuídos níveis para as ocorrências, conforme tabela abaixo:</w:t>
      </w:r>
    </w:p>
    <w:p w14:paraId="728D9B0F" w14:textId="77777777" w:rsidR="00AD59CD" w:rsidRPr="00AD59CD" w:rsidRDefault="00AD59CD" w:rsidP="00AD59CD">
      <w:pPr>
        <w:pStyle w:val="Standard"/>
        <w:autoSpaceDE w:val="0"/>
        <w:spacing w:before="57" w:after="57" w:line="360" w:lineRule="auto"/>
        <w:jc w:val="center"/>
        <w:rPr>
          <w:rFonts w:cs="Times New Roman"/>
          <w:b/>
          <w:bCs/>
          <w:sz w:val="24"/>
          <w:szCs w:val="24"/>
        </w:rPr>
      </w:pPr>
      <w:r w:rsidRPr="00AD59CD">
        <w:rPr>
          <w:rFonts w:cs="Times New Roman"/>
          <w:b/>
          <w:bCs/>
          <w:sz w:val="24"/>
          <w:szCs w:val="24"/>
        </w:rPr>
        <w:t>Tabela 3: Infrações e correspondentes níveis</w:t>
      </w:r>
    </w:p>
    <w:tbl>
      <w:tblPr>
        <w:tblW w:w="9075" w:type="dxa"/>
        <w:tblInd w:w="329" w:type="dxa"/>
        <w:tblLayout w:type="fixed"/>
        <w:tblCellMar>
          <w:left w:w="10" w:type="dxa"/>
          <w:right w:w="10" w:type="dxa"/>
        </w:tblCellMar>
        <w:tblLook w:val="0000" w:firstRow="0" w:lastRow="0" w:firstColumn="0" w:lastColumn="0" w:noHBand="0" w:noVBand="0"/>
      </w:tblPr>
      <w:tblGrid>
        <w:gridCol w:w="621"/>
        <w:gridCol w:w="7764"/>
        <w:gridCol w:w="690"/>
      </w:tblGrid>
      <w:tr w:rsidR="00AD59CD" w:rsidRPr="00AD59CD" w14:paraId="545CB1C7" w14:textId="77777777" w:rsidTr="0024040C">
        <w:trPr>
          <w:trHeight w:val="328"/>
        </w:trPr>
        <w:tc>
          <w:tcPr>
            <w:tcW w:w="9075"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999999"/>
            <w:tcMar>
              <w:top w:w="55" w:type="dxa"/>
              <w:left w:w="55" w:type="dxa"/>
              <w:bottom w:w="55" w:type="dxa"/>
              <w:right w:w="55" w:type="dxa"/>
            </w:tcMar>
          </w:tcPr>
          <w:p w14:paraId="3D828CB4" w14:textId="77777777" w:rsidR="00AD59CD" w:rsidRPr="00AD59CD" w:rsidRDefault="00AD59CD" w:rsidP="0024040C">
            <w:pPr>
              <w:pStyle w:val="Standard"/>
              <w:shd w:val="clear" w:color="auto" w:fill="999999"/>
              <w:spacing w:before="57" w:after="57" w:line="360" w:lineRule="auto"/>
              <w:jc w:val="center"/>
              <w:rPr>
                <w:rFonts w:eastAsia="ZurichBT-Light" w:cs="Times New Roman"/>
                <w:b/>
                <w:sz w:val="24"/>
                <w:szCs w:val="24"/>
                <w:shd w:val="clear" w:color="auto" w:fill="999999"/>
              </w:rPr>
            </w:pPr>
            <w:r w:rsidRPr="00AD59CD">
              <w:rPr>
                <w:rFonts w:eastAsia="ZurichBT-Light" w:cs="Times New Roman"/>
                <w:b/>
                <w:sz w:val="24"/>
                <w:szCs w:val="24"/>
                <w:shd w:val="clear" w:color="auto" w:fill="999999"/>
              </w:rPr>
              <w:t>INFRAÇÃO</w:t>
            </w:r>
          </w:p>
        </w:tc>
      </w:tr>
      <w:tr w:rsidR="00AD59CD" w:rsidRPr="00AD59CD" w14:paraId="38BCCC68" w14:textId="77777777" w:rsidTr="0024040C">
        <w:tc>
          <w:tcPr>
            <w:tcW w:w="621" w:type="dxa"/>
            <w:tcBorders>
              <w:left w:val="single" w:sz="2" w:space="0" w:color="000000" w:themeColor="text1"/>
              <w:bottom w:val="single" w:sz="2" w:space="0" w:color="000000" w:themeColor="text1"/>
            </w:tcBorders>
            <w:shd w:val="clear" w:color="auto" w:fill="808080" w:themeFill="background1" w:themeFillShade="80"/>
            <w:tcMar>
              <w:top w:w="55" w:type="dxa"/>
              <w:left w:w="55" w:type="dxa"/>
              <w:bottom w:w="55" w:type="dxa"/>
              <w:right w:w="55" w:type="dxa"/>
            </w:tcMar>
          </w:tcPr>
          <w:p w14:paraId="031CF7B6" w14:textId="77777777" w:rsidR="00AD59CD" w:rsidRPr="00AD59CD" w:rsidRDefault="00AD59CD" w:rsidP="0024040C">
            <w:pPr>
              <w:pStyle w:val="Standard"/>
              <w:spacing w:before="57" w:after="57" w:line="360" w:lineRule="auto"/>
              <w:jc w:val="center"/>
              <w:rPr>
                <w:rFonts w:eastAsia="ZurichBT-Light" w:cs="Times New Roman"/>
                <w:b/>
                <w:sz w:val="24"/>
                <w:szCs w:val="24"/>
              </w:rPr>
            </w:pPr>
            <w:r w:rsidRPr="00AD59CD">
              <w:rPr>
                <w:rFonts w:eastAsia="ZurichBT-Light" w:cs="Times New Roman"/>
                <w:b/>
                <w:sz w:val="24"/>
                <w:szCs w:val="24"/>
              </w:rPr>
              <w:t>Item</w:t>
            </w:r>
          </w:p>
        </w:tc>
        <w:tc>
          <w:tcPr>
            <w:tcW w:w="7764" w:type="dxa"/>
            <w:tcBorders>
              <w:left w:val="single" w:sz="2" w:space="0" w:color="000000" w:themeColor="text1"/>
              <w:bottom w:val="single" w:sz="2" w:space="0" w:color="000000" w:themeColor="text1"/>
            </w:tcBorders>
            <w:shd w:val="clear" w:color="auto" w:fill="808080" w:themeFill="background1" w:themeFillShade="80"/>
            <w:tcMar>
              <w:top w:w="55" w:type="dxa"/>
              <w:left w:w="55" w:type="dxa"/>
              <w:bottom w:w="55" w:type="dxa"/>
              <w:right w:w="55" w:type="dxa"/>
            </w:tcMar>
          </w:tcPr>
          <w:p w14:paraId="0957C17C" w14:textId="77777777" w:rsidR="00AD59CD" w:rsidRPr="00AD59CD" w:rsidRDefault="00AD59CD" w:rsidP="0024040C">
            <w:pPr>
              <w:pStyle w:val="Standard"/>
              <w:spacing w:before="57" w:after="57" w:line="360" w:lineRule="auto"/>
              <w:jc w:val="center"/>
              <w:rPr>
                <w:rFonts w:eastAsia="ZurichBT-Light" w:cs="Times New Roman"/>
                <w:b/>
                <w:sz w:val="24"/>
                <w:szCs w:val="24"/>
              </w:rPr>
            </w:pPr>
            <w:r w:rsidRPr="00AD59CD">
              <w:rPr>
                <w:rFonts w:eastAsia="ZurichBT-Light" w:cs="Times New Roman"/>
                <w:b/>
                <w:sz w:val="24"/>
                <w:szCs w:val="24"/>
              </w:rPr>
              <w:t>Descrição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808080" w:themeFill="background1" w:themeFillShade="80"/>
            <w:tcMar>
              <w:top w:w="55" w:type="dxa"/>
              <w:left w:w="55" w:type="dxa"/>
              <w:bottom w:w="55" w:type="dxa"/>
              <w:right w:w="55" w:type="dxa"/>
            </w:tcMar>
          </w:tcPr>
          <w:p w14:paraId="06A666A7" w14:textId="77777777" w:rsidR="00AD59CD" w:rsidRPr="00AD59CD" w:rsidRDefault="00AD59CD" w:rsidP="0024040C">
            <w:pPr>
              <w:pStyle w:val="Standard"/>
              <w:spacing w:before="57" w:after="57" w:line="360" w:lineRule="auto"/>
              <w:jc w:val="center"/>
              <w:rPr>
                <w:rFonts w:eastAsia="ZurichBT-Light" w:cs="Times New Roman"/>
                <w:b/>
                <w:sz w:val="24"/>
                <w:szCs w:val="24"/>
              </w:rPr>
            </w:pPr>
            <w:r w:rsidRPr="00AD59CD">
              <w:rPr>
                <w:rFonts w:eastAsia="ZurichBT-Light" w:cs="Times New Roman"/>
                <w:b/>
                <w:sz w:val="24"/>
                <w:szCs w:val="24"/>
              </w:rPr>
              <w:t>Nível</w:t>
            </w:r>
          </w:p>
        </w:tc>
      </w:tr>
      <w:tr w:rsidR="00AD59CD" w:rsidRPr="00AD59CD" w14:paraId="1CDF3E41" w14:textId="77777777" w:rsidTr="0024040C">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DFA81C2"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1</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E50C977" w14:textId="77777777" w:rsidR="00AD59CD" w:rsidRPr="00AD59CD" w:rsidRDefault="00AD59CD" w:rsidP="0024040C">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AD59CD">
              <w:rPr>
                <w:rFonts w:eastAsia="ZurichBT-Light" w:cs="Times New Roman"/>
                <w:color w:val="000000"/>
                <w:sz w:val="24"/>
                <w:szCs w:val="24"/>
              </w:rPr>
              <w:t>Transferir a outrem, no todo ou em parte, o objeto do contrato sem prévia e expresso acordo do CONTRATANTE.</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C4DB9D8"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6</w:t>
            </w:r>
          </w:p>
        </w:tc>
      </w:tr>
      <w:tr w:rsidR="00AD59CD" w:rsidRPr="00AD59CD" w14:paraId="0E870178" w14:textId="77777777" w:rsidTr="0024040C">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B641297"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2</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929EF92" w14:textId="77777777" w:rsidR="00AD59CD" w:rsidRPr="00AD59CD" w:rsidRDefault="00AD59CD" w:rsidP="0024040C">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AD59CD">
              <w:rPr>
                <w:rFonts w:eastAsia="ZurichBT-Light" w:cs="Times New Roman"/>
                <w:color w:val="000000"/>
                <w:sz w:val="24"/>
                <w:szCs w:val="24"/>
              </w:rPr>
              <w:t>Caucionar ou utilizar o contrato para quaisquer operações financeiras.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8D856CF"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6</w:t>
            </w:r>
          </w:p>
        </w:tc>
      </w:tr>
      <w:tr w:rsidR="00AD59CD" w:rsidRPr="00AD59CD" w14:paraId="685F51F1" w14:textId="77777777" w:rsidTr="0024040C">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C5009E5"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3</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59883F6" w14:textId="77777777" w:rsidR="00AD59CD" w:rsidRPr="00AD59CD" w:rsidRDefault="00AD59CD" w:rsidP="0024040C">
            <w:pPr>
              <w:pStyle w:val="Standard"/>
              <w:tabs>
                <w:tab w:val="left" w:pos="284"/>
              </w:tabs>
              <w:suppressAutoHyphens w:val="0"/>
              <w:autoSpaceDE w:val="0"/>
              <w:spacing w:before="57" w:after="57" w:line="360" w:lineRule="auto"/>
              <w:jc w:val="both"/>
              <w:rPr>
                <w:rFonts w:eastAsia="Arial, Arial" w:cs="Times New Roman"/>
                <w:color w:val="000000"/>
                <w:sz w:val="24"/>
                <w:szCs w:val="24"/>
              </w:rPr>
            </w:pPr>
            <w:r w:rsidRPr="00AD59CD">
              <w:rPr>
                <w:rFonts w:eastAsia="ZurichBT-Light" w:cs="Times New Roman"/>
                <w:color w:val="000000"/>
                <w:sz w:val="24"/>
                <w:szCs w:val="24"/>
              </w:rPr>
              <w:t>R</w:t>
            </w:r>
            <w:r w:rsidRPr="00AD59CD">
              <w:rPr>
                <w:rFonts w:eastAsia="Lucida Sans Unicode" w:cs="Times New Roman"/>
                <w:color w:val="000000"/>
                <w:sz w:val="24"/>
                <w:szCs w:val="24"/>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70B5240"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5</w:t>
            </w:r>
          </w:p>
        </w:tc>
      </w:tr>
      <w:tr w:rsidR="00AD59CD" w:rsidRPr="00AD59CD" w14:paraId="22DA6506" w14:textId="77777777" w:rsidTr="0024040C">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BD76B96"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4</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2471597" w14:textId="77777777" w:rsidR="00AD59CD" w:rsidRPr="00AD59CD" w:rsidRDefault="00AD59CD" w:rsidP="0024040C">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AD59CD">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C13E8E4"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5</w:t>
            </w:r>
          </w:p>
        </w:tc>
      </w:tr>
      <w:tr w:rsidR="00AD59CD" w:rsidRPr="00AD59CD" w14:paraId="3E479CC1" w14:textId="77777777" w:rsidTr="0024040C">
        <w:trPr>
          <w:trHeight w:val="525"/>
        </w:trPr>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F625AD7"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6</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B43C4C4" w14:textId="77777777" w:rsidR="00AD59CD" w:rsidRPr="00AD59CD" w:rsidRDefault="00AD59CD" w:rsidP="0024040C">
            <w:pPr>
              <w:pStyle w:val="Standard"/>
              <w:tabs>
                <w:tab w:val="left" w:pos="284"/>
              </w:tabs>
              <w:suppressAutoHyphens w:val="0"/>
              <w:spacing w:before="57" w:after="57" w:line="360" w:lineRule="auto"/>
              <w:jc w:val="both"/>
              <w:rPr>
                <w:rFonts w:eastAsia="ZurichBT-Light" w:cs="Times New Roman"/>
                <w:color w:val="000000"/>
                <w:sz w:val="24"/>
                <w:szCs w:val="24"/>
              </w:rPr>
            </w:pPr>
            <w:r w:rsidRPr="00AD59CD">
              <w:rPr>
                <w:rFonts w:eastAsia="ZurichBT-Light" w:cs="Times New Roman"/>
                <w:color w:val="000000" w:themeColor="text1"/>
                <w:sz w:val="24"/>
                <w:szCs w:val="24"/>
              </w:rPr>
              <w:t>Deixar de relacionar-se com o CONTRATANTE, exclusivamente, por meio dos fiscais e gestores do contrato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1E08B2A"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3</w:t>
            </w:r>
          </w:p>
        </w:tc>
      </w:tr>
      <w:tr w:rsidR="00AD59CD" w:rsidRPr="00AD59CD" w14:paraId="29E4E3F3" w14:textId="77777777" w:rsidTr="0024040C">
        <w:trPr>
          <w:trHeight w:val="525"/>
        </w:trPr>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C55716D"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7</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ED5037" w14:textId="77777777" w:rsidR="00AD59CD" w:rsidRPr="00AD59CD" w:rsidRDefault="00AD59CD" w:rsidP="0024040C">
            <w:pPr>
              <w:pStyle w:val="Standard"/>
              <w:tabs>
                <w:tab w:val="left" w:pos="284"/>
              </w:tabs>
              <w:suppressAutoHyphens w:val="0"/>
              <w:spacing w:before="57" w:after="57" w:line="360" w:lineRule="auto"/>
              <w:jc w:val="both"/>
              <w:rPr>
                <w:rFonts w:eastAsia="ZurichBT-Light" w:cs="Times New Roman"/>
                <w:color w:val="000000"/>
                <w:sz w:val="24"/>
                <w:szCs w:val="24"/>
              </w:rPr>
            </w:pPr>
            <w:r w:rsidRPr="00AD59CD">
              <w:rPr>
                <w:rFonts w:eastAsia="ZurichBT-Light" w:cs="Times New Roman"/>
                <w:color w:val="000000"/>
                <w:sz w:val="24"/>
                <w:szCs w:val="24"/>
              </w:rPr>
              <w:t>Deixar de sujeitar-se à fiscalização do CONTRATANTE, que inclui o atendimento às orientações do fiscal do contrato e a prestação dos esclarecimentos formulados.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F2B4438"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4</w:t>
            </w:r>
          </w:p>
        </w:tc>
      </w:tr>
      <w:tr w:rsidR="00AD59CD" w:rsidRPr="00AD59CD" w14:paraId="4BAF17F6" w14:textId="77777777" w:rsidTr="0024040C">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D099F51"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lastRenderedPageBreak/>
              <w:t>8</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531CF8E" w14:textId="77777777" w:rsidR="00AD59CD" w:rsidRPr="00AD59CD" w:rsidRDefault="00AD59CD" w:rsidP="0024040C">
            <w:pPr>
              <w:pStyle w:val="Standard"/>
              <w:tabs>
                <w:tab w:val="left" w:pos="284"/>
              </w:tabs>
              <w:suppressAutoHyphens w:val="0"/>
              <w:spacing w:before="57" w:after="57" w:line="360" w:lineRule="auto"/>
              <w:jc w:val="both"/>
              <w:rPr>
                <w:rFonts w:eastAsia="ZurichBT-Light" w:cs="Times New Roman"/>
                <w:color w:val="000000"/>
                <w:sz w:val="24"/>
                <w:szCs w:val="24"/>
              </w:rPr>
            </w:pPr>
            <w:r w:rsidRPr="00AD59CD">
              <w:rPr>
                <w:rFonts w:eastAsia="ZurichBT-Light" w:cs="Times New Roman"/>
                <w:color w:val="000000"/>
                <w:sz w:val="24"/>
                <w:szCs w:val="24"/>
              </w:rPr>
              <w:t>Deixar de zelar pelas instalações do CONTRATANTE</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2F427FE"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3</w:t>
            </w:r>
          </w:p>
        </w:tc>
      </w:tr>
      <w:tr w:rsidR="00AD59CD" w:rsidRPr="00AD59CD" w14:paraId="41C32E65" w14:textId="77777777" w:rsidTr="0024040C">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737064C"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9</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4F9417D" w14:textId="77777777" w:rsidR="00AD59CD" w:rsidRPr="00AD59CD" w:rsidRDefault="00AD59CD" w:rsidP="0024040C">
            <w:pPr>
              <w:pStyle w:val="Standard"/>
              <w:tabs>
                <w:tab w:val="left" w:pos="426"/>
                <w:tab w:val="left" w:pos="1985"/>
              </w:tabs>
              <w:suppressAutoHyphens w:val="0"/>
              <w:spacing w:before="57" w:after="57" w:line="360" w:lineRule="auto"/>
              <w:jc w:val="both"/>
              <w:rPr>
                <w:rFonts w:eastAsia="Lucida Sans Unicode" w:cs="Times New Roman"/>
                <w:sz w:val="24"/>
                <w:szCs w:val="24"/>
              </w:rPr>
            </w:pPr>
            <w:r w:rsidRPr="00AD59CD">
              <w:rPr>
                <w:rFonts w:eastAsia="ZurichBT-Light" w:cs="Times New Roman"/>
                <w:color w:val="000000"/>
                <w:sz w:val="24"/>
                <w:szCs w:val="24"/>
              </w:rPr>
              <w:t>Deixar de m</w:t>
            </w:r>
            <w:r w:rsidRPr="00AD59CD">
              <w:rPr>
                <w:rFonts w:eastAsia="Lucida Sans Unicode" w:cs="Times New Roman"/>
                <w:sz w:val="24"/>
                <w:szCs w:val="24"/>
              </w:rPr>
              <w:t>anter, durante todo o período de vigência contratual, todas as condições de habilitação e qualificação que permitiram sua contratação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95234DF" w14:textId="77777777" w:rsidR="00AD59CD" w:rsidRPr="00AD59CD" w:rsidRDefault="00AD59CD" w:rsidP="0024040C">
            <w:pPr>
              <w:pStyle w:val="Standard"/>
              <w:spacing w:before="57" w:after="57" w:line="360" w:lineRule="auto"/>
              <w:jc w:val="center"/>
              <w:rPr>
                <w:rFonts w:cs="Times New Roman"/>
                <w:sz w:val="24"/>
                <w:szCs w:val="24"/>
              </w:rPr>
            </w:pPr>
            <w:r w:rsidRPr="00AD59CD">
              <w:rPr>
                <w:rFonts w:cs="Times New Roman"/>
                <w:sz w:val="24"/>
                <w:szCs w:val="24"/>
              </w:rPr>
              <w:t>6</w:t>
            </w:r>
          </w:p>
        </w:tc>
      </w:tr>
      <w:tr w:rsidR="00AD59CD" w:rsidRPr="00AD59CD" w14:paraId="38D97FDA" w14:textId="77777777" w:rsidTr="0024040C">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7D7BB4B"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10</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A392DF3" w14:textId="77777777" w:rsidR="00AD59CD" w:rsidRPr="00AD59CD" w:rsidRDefault="00AD59CD" w:rsidP="0024040C">
            <w:pPr>
              <w:pStyle w:val="Standard"/>
              <w:tabs>
                <w:tab w:val="left" w:pos="426"/>
              </w:tabs>
              <w:spacing w:before="57" w:after="57" w:line="360" w:lineRule="auto"/>
              <w:jc w:val="both"/>
              <w:rPr>
                <w:rFonts w:eastAsia="Lucida Sans Unicode" w:cs="Times New Roman"/>
                <w:sz w:val="24"/>
                <w:szCs w:val="24"/>
              </w:rPr>
            </w:pPr>
            <w:r w:rsidRPr="00AD59CD">
              <w:rPr>
                <w:rFonts w:eastAsia="ZurichBT-Light" w:cs="Times New Roman"/>
                <w:color w:val="000000"/>
                <w:sz w:val="24"/>
                <w:szCs w:val="24"/>
              </w:rPr>
              <w:t>Deixar de d</w:t>
            </w:r>
            <w:r w:rsidRPr="00AD59CD">
              <w:rPr>
                <w:rFonts w:eastAsia="Lucida Sans Unicode" w:cs="Times New Roman"/>
                <w:sz w:val="24"/>
                <w:szCs w:val="24"/>
              </w:rPr>
              <w:t xml:space="preserve">isponibilizar e manter atualizados conta de </w:t>
            </w:r>
            <w:r w:rsidRPr="00AD59CD">
              <w:rPr>
                <w:rFonts w:eastAsia="Lucida Sans Unicode" w:cs="Times New Roman"/>
                <w:i/>
                <w:sz w:val="24"/>
                <w:szCs w:val="24"/>
              </w:rPr>
              <w:t xml:space="preserve">e-mail, </w:t>
            </w:r>
            <w:r w:rsidRPr="00AD59CD">
              <w:rPr>
                <w:rFonts w:eastAsia="Lucida Sans Unicode" w:cs="Times New Roman"/>
                <w:sz w:val="24"/>
                <w:szCs w:val="24"/>
              </w:rPr>
              <w:t>endereço e telefones comerciais</w:t>
            </w:r>
            <w:r w:rsidRPr="00AD59CD">
              <w:rPr>
                <w:rFonts w:eastAsia="Lucida Sans Unicode" w:cs="Times New Roman"/>
                <w:i/>
                <w:sz w:val="24"/>
                <w:szCs w:val="24"/>
              </w:rPr>
              <w:t xml:space="preserve"> </w:t>
            </w:r>
            <w:r w:rsidRPr="00AD59CD">
              <w:rPr>
                <w:rFonts w:eastAsia="Lucida Sans Unicode" w:cs="Times New Roman"/>
                <w:sz w:val="24"/>
                <w:szCs w:val="24"/>
              </w:rPr>
              <w:t>para fins de comunicação formal entre as partes.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EA486EF" w14:textId="77777777" w:rsidR="00AD59CD" w:rsidRPr="00AD59CD" w:rsidRDefault="00AD59CD" w:rsidP="0024040C">
            <w:pPr>
              <w:pStyle w:val="Standard"/>
              <w:spacing w:before="57" w:after="57" w:line="360" w:lineRule="auto"/>
              <w:jc w:val="center"/>
              <w:rPr>
                <w:rFonts w:cs="Times New Roman"/>
                <w:sz w:val="24"/>
                <w:szCs w:val="24"/>
              </w:rPr>
            </w:pPr>
            <w:r w:rsidRPr="00AD59CD">
              <w:rPr>
                <w:rFonts w:cs="Times New Roman"/>
                <w:sz w:val="24"/>
                <w:szCs w:val="24"/>
              </w:rPr>
              <w:t>2</w:t>
            </w:r>
          </w:p>
        </w:tc>
      </w:tr>
      <w:tr w:rsidR="00AD59CD" w:rsidRPr="00AD59CD" w14:paraId="67E2B5E0" w14:textId="77777777" w:rsidTr="0024040C">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B0A9FF2"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11</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1A6C0E9" w14:textId="77777777" w:rsidR="00AD59CD" w:rsidRPr="00AD59CD" w:rsidRDefault="00AD59CD" w:rsidP="0024040C">
            <w:pPr>
              <w:pStyle w:val="Standard"/>
              <w:tabs>
                <w:tab w:val="left" w:pos="284"/>
              </w:tabs>
              <w:suppressAutoHyphens w:val="0"/>
              <w:autoSpaceDE w:val="0"/>
              <w:spacing w:before="57" w:after="57" w:line="360" w:lineRule="auto"/>
              <w:jc w:val="both"/>
              <w:rPr>
                <w:rFonts w:eastAsia="Arial, Arial" w:cs="Times New Roman"/>
                <w:color w:val="000000"/>
                <w:sz w:val="24"/>
                <w:szCs w:val="24"/>
              </w:rPr>
            </w:pPr>
            <w:r w:rsidRPr="00AD59CD">
              <w:rPr>
                <w:rFonts w:eastAsia="ZurichBT-Light" w:cs="Times New Roman"/>
                <w:color w:val="000000"/>
                <w:sz w:val="24"/>
                <w:szCs w:val="24"/>
              </w:rPr>
              <w:t>Deixar de r</w:t>
            </w:r>
            <w:r w:rsidRPr="00AD59CD">
              <w:rPr>
                <w:rFonts w:eastAsia="Arial, Arial" w:cs="Times New Roman"/>
                <w:color w:val="000000"/>
                <w:sz w:val="24"/>
                <w:szCs w:val="24"/>
              </w:rPr>
              <w:t>esponsabilizar-se pela idoneidade e pelo comportamento de seus prestadores de serviço e por quaisquer prejuízos que sejam causados à CONTRATANTE e a terceiros.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54374BF"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6</w:t>
            </w:r>
          </w:p>
        </w:tc>
      </w:tr>
      <w:tr w:rsidR="00AD59CD" w:rsidRPr="00AD59CD" w14:paraId="56938930" w14:textId="77777777" w:rsidTr="0024040C">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F684131"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12</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99E771" w14:textId="77777777" w:rsidR="00AD59CD" w:rsidRPr="00AD59CD" w:rsidRDefault="00AD59CD" w:rsidP="0024040C">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AD59CD">
              <w:rPr>
                <w:rFonts w:eastAsia="ZurichBT-Light" w:cs="Times New Roman"/>
                <w:color w:val="000000"/>
                <w:sz w:val="24"/>
                <w:szCs w:val="24"/>
              </w:rPr>
              <w:t>Deixar de encaminhar documentos fiscais e todas as documentações determinadas pelos fiscais/gestores do contrato para efeitos de atestar os serviços e comprovar regularizações.</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450B097"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4</w:t>
            </w:r>
          </w:p>
        </w:tc>
      </w:tr>
      <w:tr w:rsidR="00AD59CD" w:rsidRPr="00AD59CD" w14:paraId="0E30CF5A" w14:textId="77777777" w:rsidTr="0024040C">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502EBD9"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13</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C1ED5E0" w14:textId="77777777" w:rsidR="00AD59CD" w:rsidRPr="00AD59CD" w:rsidRDefault="00AD59CD" w:rsidP="0024040C">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AD59CD">
              <w:rPr>
                <w:rFonts w:eastAsia="ZurichBT-Light" w:cs="Times New Roman"/>
                <w:color w:val="000000"/>
                <w:sz w:val="24"/>
                <w:szCs w:val="24"/>
              </w:rPr>
              <w:t>Deixar de assumir todas as responsabilidades e tomar as medidas necessárias para o atendimento dos prestadores de serviço acidentados ou com mal súbito.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5FFB789"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6</w:t>
            </w:r>
          </w:p>
        </w:tc>
      </w:tr>
      <w:tr w:rsidR="00AD59CD" w:rsidRPr="00AD59CD" w14:paraId="4B46515C" w14:textId="77777777" w:rsidTr="0024040C">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18F553D"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14</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C5B8B5" w14:textId="77777777" w:rsidR="00AD59CD" w:rsidRPr="00AD59CD" w:rsidRDefault="00AD59CD" w:rsidP="0024040C">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AD59CD">
              <w:rPr>
                <w:rFonts w:eastAsia="ZurichBT-Light" w:cs="Times New Roman"/>
                <w:color w:val="000000"/>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64BF6C3"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5</w:t>
            </w:r>
          </w:p>
        </w:tc>
      </w:tr>
      <w:tr w:rsidR="00AD59CD" w:rsidRPr="00AD59CD" w14:paraId="564CA683" w14:textId="77777777" w:rsidTr="0024040C">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AC0AF0"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15</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A2C9531" w14:textId="77777777" w:rsidR="00AD59CD" w:rsidRPr="00AD59CD" w:rsidRDefault="00AD59CD" w:rsidP="0024040C">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AD59CD">
              <w:rPr>
                <w:rFonts w:eastAsia="Lucida Sans Unicode" w:cs="Times New Roman"/>
                <w:color w:val="000000"/>
                <w:sz w:val="24"/>
                <w:szCs w:val="24"/>
              </w:rPr>
              <w:t>Suspender ou interromper, salvo motivo de força maior ou caso fortuito, a execução do objeto.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B646A3D"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5</w:t>
            </w:r>
          </w:p>
        </w:tc>
      </w:tr>
      <w:tr w:rsidR="00AD59CD" w:rsidRPr="00AD59CD" w14:paraId="2E858AA4" w14:textId="77777777" w:rsidTr="0024040C">
        <w:tc>
          <w:tcPr>
            <w:tcW w:w="62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59CCF46"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16</w:t>
            </w:r>
          </w:p>
        </w:tc>
        <w:tc>
          <w:tcPr>
            <w:tcW w:w="7764"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C8888B" w14:textId="77777777" w:rsidR="00AD59CD" w:rsidRPr="00AD59CD" w:rsidRDefault="00AD59CD" w:rsidP="0024040C">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AD59CD">
              <w:rPr>
                <w:rFonts w:eastAsia="Lucida Sans Unicode" w:cs="Times New Roman"/>
                <w:color w:val="000000"/>
                <w:sz w:val="24"/>
                <w:szCs w:val="24"/>
              </w:rPr>
              <w:t>Recusar fornecimento determinado pela fiscalização sem motivo justificado.</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72B2DB6"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3</w:t>
            </w:r>
          </w:p>
        </w:tc>
      </w:tr>
      <w:tr w:rsidR="00AD59CD" w:rsidRPr="00AD59CD" w14:paraId="7C5D2CCC" w14:textId="77777777" w:rsidTr="0024040C">
        <w:tc>
          <w:tcPr>
            <w:tcW w:w="621" w:type="dxa"/>
            <w:tcBorders>
              <w:left w:val="single" w:sz="2" w:space="0" w:color="000000" w:themeColor="text1"/>
              <w:bottom w:val="single" w:sz="4" w:space="0" w:color="auto"/>
            </w:tcBorders>
            <w:shd w:val="clear" w:color="auto" w:fill="auto"/>
            <w:tcMar>
              <w:top w:w="55" w:type="dxa"/>
              <w:left w:w="55" w:type="dxa"/>
              <w:bottom w:w="55" w:type="dxa"/>
              <w:right w:w="55" w:type="dxa"/>
            </w:tcMar>
          </w:tcPr>
          <w:p w14:paraId="54248227"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17</w:t>
            </w:r>
          </w:p>
        </w:tc>
        <w:tc>
          <w:tcPr>
            <w:tcW w:w="7764" w:type="dxa"/>
            <w:tcBorders>
              <w:left w:val="single" w:sz="2" w:space="0" w:color="000000" w:themeColor="text1"/>
              <w:bottom w:val="single" w:sz="4" w:space="0" w:color="auto"/>
            </w:tcBorders>
            <w:shd w:val="clear" w:color="auto" w:fill="auto"/>
            <w:tcMar>
              <w:top w:w="55" w:type="dxa"/>
              <w:left w:w="55" w:type="dxa"/>
              <w:bottom w:w="55" w:type="dxa"/>
              <w:right w:w="55" w:type="dxa"/>
            </w:tcMar>
          </w:tcPr>
          <w:p w14:paraId="17A20470" w14:textId="77777777" w:rsidR="00AD59CD" w:rsidRPr="00AD59CD" w:rsidRDefault="00AD59CD" w:rsidP="0024040C">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AD59CD">
              <w:rPr>
                <w:rFonts w:eastAsia="Lucida Sans Unicode" w:cs="Times New Roman"/>
                <w:color w:val="000000"/>
                <w:sz w:val="24"/>
                <w:szCs w:val="24"/>
              </w:rPr>
              <w:t>Retirar das dependências do CNMP quaisquer equipamentos ou materiais de consumo sem autorização prévia.</w:t>
            </w:r>
          </w:p>
        </w:tc>
        <w:tc>
          <w:tcPr>
            <w:tcW w:w="6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D90F03D"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3</w:t>
            </w:r>
          </w:p>
        </w:tc>
      </w:tr>
      <w:tr w:rsidR="00AD59CD" w:rsidRPr="00AD59CD" w14:paraId="58683A93" w14:textId="77777777" w:rsidTr="0024040C">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8C89BE"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18</w:t>
            </w:r>
          </w:p>
        </w:tc>
        <w:tc>
          <w:tcPr>
            <w:tcW w:w="776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38D0CC6" w14:textId="77777777" w:rsidR="00AD59CD" w:rsidRPr="00AD59CD" w:rsidRDefault="00AD59CD" w:rsidP="0024040C">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AD59CD">
              <w:rPr>
                <w:rFonts w:eastAsia="Lucida Sans Unicode" w:cs="Times New Roman"/>
                <w:color w:val="000000"/>
                <w:sz w:val="24"/>
                <w:szCs w:val="24"/>
              </w:rPr>
              <w:t>Destruir ou danificar documentos por culpa ou dolo de seus agentes.</w:t>
            </w:r>
          </w:p>
        </w:tc>
        <w:tc>
          <w:tcPr>
            <w:tcW w:w="690" w:type="dxa"/>
            <w:tcBorders>
              <w:left w:val="single" w:sz="4" w:space="0" w:color="auto"/>
              <w:bottom w:val="single" w:sz="4" w:space="0" w:color="auto"/>
              <w:right w:val="single" w:sz="2" w:space="0" w:color="000000" w:themeColor="text1"/>
            </w:tcBorders>
            <w:shd w:val="clear" w:color="auto" w:fill="auto"/>
            <w:tcMar>
              <w:top w:w="55" w:type="dxa"/>
              <w:left w:w="55" w:type="dxa"/>
              <w:bottom w:w="55" w:type="dxa"/>
              <w:right w:w="55" w:type="dxa"/>
            </w:tcMar>
          </w:tcPr>
          <w:p w14:paraId="452FDE19"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6</w:t>
            </w:r>
          </w:p>
        </w:tc>
      </w:tr>
      <w:tr w:rsidR="00AD59CD" w:rsidRPr="00AD59CD" w14:paraId="31CFD5F8" w14:textId="77777777" w:rsidTr="0024040C">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19BFCE9"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lastRenderedPageBreak/>
              <w:t>19</w:t>
            </w:r>
          </w:p>
        </w:tc>
        <w:tc>
          <w:tcPr>
            <w:tcW w:w="776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8423283" w14:textId="77777777" w:rsidR="00AD59CD" w:rsidRPr="00AD59CD" w:rsidRDefault="00AD59CD" w:rsidP="0024040C">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AD59CD">
              <w:rPr>
                <w:rFonts w:eastAsia="Lucida Sans Unicode" w:cs="Times New Roman"/>
                <w:color w:val="000000"/>
                <w:sz w:val="24"/>
                <w:szCs w:val="24"/>
              </w:rPr>
              <w:t>Ultrapassar limite do nível de serviço NS1 (item 7.1.3)</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98AA73"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3</w:t>
            </w:r>
          </w:p>
        </w:tc>
      </w:tr>
      <w:tr w:rsidR="00AD59CD" w:rsidRPr="00AD59CD" w14:paraId="6BB16692" w14:textId="77777777" w:rsidTr="0024040C">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505CEB"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20</w:t>
            </w:r>
          </w:p>
        </w:tc>
        <w:tc>
          <w:tcPr>
            <w:tcW w:w="776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F096455" w14:textId="77777777" w:rsidR="00AD59CD" w:rsidRPr="00AD59CD" w:rsidRDefault="00AD59CD" w:rsidP="0024040C">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AD59CD">
              <w:rPr>
                <w:rFonts w:eastAsia="Lucida Sans Unicode" w:cs="Times New Roman"/>
                <w:color w:val="000000"/>
                <w:sz w:val="24"/>
                <w:szCs w:val="24"/>
              </w:rPr>
              <w:t>Ultrapassar limite do nível de serviço NS2 (item 7.1.3)</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65AFD3B"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2</w:t>
            </w:r>
          </w:p>
        </w:tc>
      </w:tr>
      <w:tr w:rsidR="00AD59CD" w:rsidRPr="00AD59CD" w14:paraId="1FA0EF3E" w14:textId="77777777" w:rsidTr="0024040C">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FB8DA57"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21</w:t>
            </w:r>
          </w:p>
        </w:tc>
        <w:tc>
          <w:tcPr>
            <w:tcW w:w="776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9CF347" w14:textId="77777777" w:rsidR="00AD59CD" w:rsidRPr="00AD59CD" w:rsidRDefault="00AD59CD" w:rsidP="0024040C">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AD59CD">
              <w:rPr>
                <w:rFonts w:eastAsia="Lucida Sans Unicode" w:cs="Times New Roman"/>
                <w:color w:val="000000"/>
                <w:sz w:val="24"/>
                <w:szCs w:val="24"/>
              </w:rPr>
              <w:t>Ultrapassar limite do nível de serviço NS3 (item 7.1.3)</w:t>
            </w:r>
          </w:p>
        </w:tc>
        <w:tc>
          <w:tcPr>
            <w:tcW w:w="69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2DC30F" w14:textId="77777777" w:rsidR="00AD59CD" w:rsidRPr="00AD59CD" w:rsidRDefault="00AD59CD" w:rsidP="0024040C">
            <w:pPr>
              <w:pStyle w:val="Standard"/>
              <w:spacing w:before="57" w:after="57" w:line="360" w:lineRule="auto"/>
              <w:jc w:val="center"/>
              <w:rPr>
                <w:rFonts w:eastAsia="ZurichBT-Light" w:cs="Times New Roman"/>
                <w:sz w:val="24"/>
                <w:szCs w:val="24"/>
              </w:rPr>
            </w:pPr>
            <w:r w:rsidRPr="00AD59CD">
              <w:rPr>
                <w:rFonts w:eastAsia="ZurichBT-Light" w:cs="Times New Roman"/>
                <w:sz w:val="24"/>
                <w:szCs w:val="24"/>
              </w:rPr>
              <w:t>1</w:t>
            </w:r>
          </w:p>
        </w:tc>
      </w:tr>
    </w:tbl>
    <w:p w14:paraId="7C06DA5D" w14:textId="77777777" w:rsidR="00AD59CD" w:rsidRPr="00AD59CD" w:rsidRDefault="00AD59CD" w:rsidP="00AD59CD">
      <w:pPr>
        <w:rPr>
          <w:rFonts w:cs="Times New Roman"/>
        </w:rPr>
      </w:pPr>
    </w:p>
    <w:p w14:paraId="2DF40E82" w14:textId="77777777" w:rsidR="00AD59CD" w:rsidRPr="00AD59CD" w:rsidRDefault="00AD59CD" w:rsidP="00A16FF6">
      <w:pPr>
        <w:pStyle w:val="Standard"/>
        <w:widowControl w:val="0"/>
        <w:numPr>
          <w:ilvl w:val="1"/>
          <w:numId w:val="31"/>
        </w:numPr>
        <w:autoSpaceDE w:val="0"/>
        <w:autoSpaceDN w:val="0"/>
        <w:spacing w:before="57" w:after="57" w:line="360" w:lineRule="auto"/>
        <w:jc w:val="both"/>
        <w:rPr>
          <w:rFonts w:cs="Times New Roman"/>
          <w:sz w:val="24"/>
          <w:szCs w:val="24"/>
        </w:rPr>
      </w:pPr>
      <w:r w:rsidRPr="00AD59CD">
        <w:rPr>
          <w:rFonts w:eastAsia="TTE4D8A148t00" w:cs="Times New Roman"/>
          <w:color w:val="000000"/>
          <w:sz w:val="24"/>
          <w:szCs w:val="24"/>
        </w:rPr>
        <w:t xml:space="preserve">Em caso de registro de infração na qual a CONTRATADA apresente </w:t>
      </w:r>
      <w:r w:rsidRPr="00AD59CD">
        <w:rPr>
          <w:rFonts w:cs="Times New Roman"/>
          <w:sz w:val="24"/>
          <w:szCs w:val="24"/>
        </w:rPr>
        <w:t>justificativa razoável e aceita pelo fiscal do contrato, o nível da infração poderá ser desconsiderado ou inserido em uma categoria de menor gravidade.</w:t>
      </w:r>
    </w:p>
    <w:p w14:paraId="06DD5A49" w14:textId="77777777" w:rsidR="00AD59CD" w:rsidRPr="00AD59CD" w:rsidRDefault="00AD59CD" w:rsidP="00A16FF6">
      <w:pPr>
        <w:pStyle w:val="Standard"/>
        <w:widowControl w:val="0"/>
        <w:numPr>
          <w:ilvl w:val="1"/>
          <w:numId w:val="31"/>
        </w:numPr>
        <w:autoSpaceDE w:val="0"/>
        <w:autoSpaceDN w:val="0"/>
        <w:spacing w:before="57" w:after="57" w:line="360" w:lineRule="auto"/>
        <w:jc w:val="both"/>
        <w:rPr>
          <w:rFonts w:cs="Times New Roman"/>
          <w:sz w:val="24"/>
          <w:szCs w:val="24"/>
        </w:rPr>
      </w:pPr>
      <w:r w:rsidRPr="00AD59CD">
        <w:rPr>
          <w:rFonts w:eastAsia="TTE4D8A148t00" w:cs="Times New Roman"/>
          <w:color w:val="000000"/>
          <w:sz w:val="24"/>
          <w:szCs w:val="24"/>
        </w:rPr>
        <w:t>A inexecução parcial ou total do contrato será configurada, entre outras hipóteses, na ocorrência de, pelo menos, uma</w:t>
      </w:r>
      <w:r w:rsidRPr="00AD59CD">
        <w:rPr>
          <w:rFonts w:eastAsia="TTE4D8A148t00" w:cs="Times New Roman"/>
          <w:sz w:val="24"/>
          <w:szCs w:val="24"/>
        </w:rPr>
        <w:t xml:space="preserve"> das seguintes situações:</w:t>
      </w:r>
    </w:p>
    <w:p w14:paraId="1C62019B" w14:textId="77777777" w:rsidR="00AD59CD" w:rsidRPr="00AD59CD" w:rsidRDefault="00AD59CD" w:rsidP="00AD59CD">
      <w:pPr>
        <w:pStyle w:val="Standard"/>
        <w:autoSpaceDE w:val="0"/>
        <w:spacing w:before="57" w:after="57" w:line="360" w:lineRule="auto"/>
        <w:jc w:val="center"/>
        <w:rPr>
          <w:rFonts w:eastAsia="TTE4D8A148t00" w:cs="Times New Roman"/>
          <w:b/>
          <w:bCs/>
          <w:sz w:val="24"/>
          <w:szCs w:val="24"/>
        </w:rPr>
      </w:pPr>
    </w:p>
    <w:p w14:paraId="6ACB82B6" w14:textId="2604ACB2" w:rsidR="00AD59CD" w:rsidRPr="00AD59CD" w:rsidRDefault="00AD59CD" w:rsidP="00AD59CD">
      <w:pPr>
        <w:pStyle w:val="Standard"/>
        <w:autoSpaceDE w:val="0"/>
        <w:spacing w:before="57" w:after="57" w:line="360" w:lineRule="auto"/>
        <w:jc w:val="center"/>
        <w:rPr>
          <w:rFonts w:eastAsia="TTE4D8A148t00" w:cs="Times New Roman"/>
          <w:b/>
          <w:bCs/>
          <w:sz w:val="24"/>
          <w:szCs w:val="24"/>
        </w:rPr>
      </w:pPr>
      <w:r w:rsidRPr="00AD59CD">
        <w:rPr>
          <w:rFonts w:eastAsia="TTE4D8A148t00" w:cs="Times New Roman"/>
          <w:b/>
          <w:bCs/>
          <w:sz w:val="24"/>
          <w:szCs w:val="24"/>
        </w:rPr>
        <w:t>Tabela 4: Qualificação da inexecução contratual</w:t>
      </w:r>
    </w:p>
    <w:tbl>
      <w:tblPr>
        <w:tblW w:w="5479" w:type="dxa"/>
        <w:tblInd w:w="2072" w:type="dxa"/>
        <w:tblLayout w:type="fixed"/>
        <w:tblCellMar>
          <w:left w:w="10" w:type="dxa"/>
          <w:right w:w="10" w:type="dxa"/>
        </w:tblCellMar>
        <w:tblLook w:val="0000" w:firstRow="0" w:lastRow="0" w:firstColumn="0" w:lastColumn="0" w:noHBand="0" w:noVBand="0"/>
      </w:tblPr>
      <w:tblGrid>
        <w:gridCol w:w="1141"/>
        <w:gridCol w:w="2235"/>
        <w:gridCol w:w="2103"/>
      </w:tblGrid>
      <w:tr w:rsidR="00AD59CD" w:rsidRPr="00AD59CD" w14:paraId="29AFE467" w14:textId="77777777" w:rsidTr="0024040C">
        <w:tc>
          <w:tcPr>
            <w:tcW w:w="1140"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C626D97" w14:textId="77777777" w:rsidR="00AD59CD" w:rsidRPr="00AD59CD" w:rsidRDefault="00AD59CD" w:rsidP="0024040C">
            <w:pPr>
              <w:pStyle w:val="Standard"/>
              <w:shd w:val="clear" w:color="auto" w:fill="999999"/>
              <w:spacing w:before="57" w:after="57" w:line="360" w:lineRule="auto"/>
              <w:jc w:val="center"/>
              <w:rPr>
                <w:rFonts w:eastAsia="TTE4D8A148t00" w:cs="Times New Roman"/>
                <w:b/>
                <w:bCs/>
                <w:sz w:val="24"/>
                <w:szCs w:val="24"/>
              </w:rPr>
            </w:pPr>
          </w:p>
          <w:p w14:paraId="0712FBDF" w14:textId="77777777" w:rsidR="00AD59CD" w:rsidRPr="00AD59CD" w:rsidRDefault="00AD59CD" w:rsidP="0024040C">
            <w:pPr>
              <w:pStyle w:val="Standard"/>
              <w:suppressLineNumbers/>
              <w:shd w:val="clear" w:color="auto" w:fill="999999"/>
              <w:spacing w:before="57" w:after="57" w:line="360" w:lineRule="auto"/>
              <w:jc w:val="center"/>
              <w:rPr>
                <w:rFonts w:eastAsia="TTE4D8A148t00" w:cs="Times New Roman"/>
                <w:b/>
                <w:bCs/>
                <w:sz w:val="24"/>
                <w:szCs w:val="24"/>
              </w:rPr>
            </w:pPr>
            <w:r w:rsidRPr="00AD59CD">
              <w:rPr>
                <w:rFonts w:eastAsia="TTE4D8A148t00" w:cs="Times New Roman"/>
                <w:b/>
                <w:bCs/>
                <w:sz w:val="24"/>
                <w:szCs w:val="24"/>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E554E75" w14:textId="77777777" w:rsidR="00AD59CD" w:rsidRPr="00AD59CD" w:rsidRDefault="00AD59CD" w:rsidP="0024040C">
            <w:pPr>
              <w:pStyle w:val="Standard"/>
              <w:suppressLineNumbers/>
              <w:shd w:val="clear" w:color="auto" w:fill="999999"/>
              <w:spacing w:before="57" w:after="57" w:line="360" w:lineRule="auto"/>
              <w:jc w:val="center"/>
              <w:rPr>
                <w:rFonts w:eastAsia="TTE4D8A148t00" w:cs="Times New Roman"/>
                <w:b/>
                <w:bCs/>
                <w:sz w:val="24"/>
                <w:szCs w:val="24"/>
              </w:rPr>
            </w:pPr>
            <w:r w:rsidRPr="00AD59CD">
              <w:rPr>
                <w:rFonts w:eastAsia="TTE4D8A148t00" w:cs="Times New Roman"/>
                <w:b/>
                <w:bCs/>
                <w:sz w:val="24"/>
                <w:szCs w:val="24"/>
              </w:rPr>
              <w:t>QUANTIDADE DE INFRAÇÕES</w:t>
            </w:r>
          </w:p>
        </w:tc>
      </w:tr>
      <w:tr w:rsidR="00AD59CD" w:rsidRPr="00AD59CD" w14:paraId="0FB033B8" w14:textId="77777777" w:rsidTr="0024040C">
        <w:trPr>
          <w:trHeight w:val="701"/>
        </w:trPr>
        <w:tc>
          <w:tcPr>
            <w:tcW w:w="1140"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5BDA0DAC" w14:textId="77777777" w:rsidR="00AD59CD" w:rsidRPr="00AD59CD" w:rsidRDefault="00AD59CD" w:rsidP="0024040C">
            <w:pPr>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574B598C" w14:textId="77777777" w:rsidR="00AD59CD" w:rsidRPr="00AD59CD" w:rsidRDefault="00AD59CD" w:rsidP="0024040C">
            <w:pPr>
              <w:pStyle w:val="Standard"/>
              <w:suppressLineNumbers/>
              <w:shd w:val="clear" w:color="auto" w:fill="999999"/>
              <w:spacing w:before="57" w:after="57" w:line="360" w:lineRule="auto"/>
              <w:jc w:val="center"/>
              <w:rPr>
                <w:rFonts w:eastAsia="TTE4D8A148t00" w:cs="Times New Roman"/>
                <w:b/>
                <w:bCs/>
                <w:sz w:val="24"/>
                <w:szCs w:val="24"/>
              </w:rPr>
            </w:pPr>
            <w:r w:rsidRPr="00AD59CD">
              <w:rPr>
                <w:rFonts w:eastAsia="TTE4D8A148t00" w:cs="Times New Roman"/>
                <w:b/>
                <w:bCs/>
                <w:sz w:val="24"/>
                <w:szCs w:val="24"/>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0B73671" w14:textId="77777777" w:rsidR="00AD59CD" w:rsidRPr="00AD59CD" w:rsidRDefault="00AD59CD" w:rsidP="0024040C">
            <w:pPr>
              <w:pStyle w:val="Standard"/>
              <w:suppressLineNumbers/>
              <w:shd w:val="clear" w:color="auto" w:fill="999999"/>
              <w:spacing w:before="57" w:after="57" w:line="360" w:lineRule="auto"/>
              <w:jc w:val="center"/>
              <w:rPr>
                <w:rFonts w:eastAsia="TTE4D8A148t00" w:cs="Times New Roman"/>
                <w:b/>
                <w:bCs/>
                <w:sz w:val="24"/>
                <w:szCs w:val="24"/>
              </w:rPr>
            </w:pPr>
            <w:r w:rsidRPr="00AD59CD">
              <w:rPr>
                <w:rFonts w:eastAsia="TTE4D8A148t00" w:cs="Times New Roman"/>
                <w:b/>
                <w:bCs/>
                <w:sz w:val="24"/>
                <w:szCs w:val="24"/>
              </w:rPr>
              <w:t>Inexecução Total</w:t>
            </w:r>
          </w:p>
        </w:tc>
      </w:tr>
      <w:tr w:rsidR="00AD59CD" w:rsidRPr="00AD59CD" w14:paraId="07595FF8" w14:textId="77777777" w:rsidTr="0024040C">
        <w:tc>
          <w:tcPr>
            <w:tcW w:w="1140" w:type="dxa"/>
            <w:tcBorders>
              <w:left w:val="single" w:sz="2" w:space="0" w:color="000000"/>
              <w:bottom w:val="single" w:sz="2" w:space="0" w:color="000000"/>
            </w:tcBorders>
            <w:tcMar>
              <w:top w:w="55" w:type="dxa"/>
              <w:left w:w="55" w:type="dxa"/>
              <w:bottom w:w="55" w:type="dxa"/>
              <w:right w:w="55" w:type="dxa"/>
            </w:tcMar>
          </w:tcPr>
          <w:p w14:paraId="75BCC2D4"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sz w:val="24"/>
                <w:szCs w:val="24"/>
              </w:rPr>
            </w:pPr>
            <w:r w:rsidRPr="00AD59CD">
              <w:rPr>
                <w:rFonts w:eastAsia="TTE4D8A148t00" w:cs="Times New Roman"/>
                <w:sz w:val="24"/>
                <w:szCs w:val="24"/>
              </w:rPr>
              <w:t>1</w:t>
            </w:r>
          </w:p>
        </w:tc>
        <w:tc>
          <w:tcPr>
            <w:tcW w:w="2235" w:type="dxa"/>
            <w:tcBorders>
              <w:left w:val="single" w:sz="2" w:space="0" w:color="000000"/>
              <w:bottom w:val="single" w:sz="2" w:space="0" w:color="000000"/>
            </w:tcBorders>
            <w:tcMar>
              <w:top w:w="55" w:type="dxa"/>
              <w:left w:w="55" w:type="dxa"/>
              <w:bottom w:w="55" w:type="dxa"/>
              <w:right w:w="55" w:type="dxa"/>
            </w:tcMar>
          </w:tcPr>
          <w:p w14:paraId="658B3211" w14:textId="17ECA02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color w:val="000000"/>
                <w:sz w:val="24"/>
                <w:szCs w:val="24"/>
              </w:rPr>
            </w:pPr>
            <w:r w:rsidRPr="00AD59CD">
              <w:rPr>
                <w:rFonts w:eastAsia="TTE4D8A148t00" w:cs="Times New Roman"/>
                <w:color w:val="000000"/>
                <w:sz w:val="24"/>
                <w:szCs w:val="24"/>
              </w:rPr>
              <w:t>7 a 11</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0C9FC0"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color w:val="000000"/>
                <w:sz w:val="24"/>
                <w:szCs w:val="24"/>
              </w:rPr>
            </w:pPr>
            <w:r w:rsidRPr="00AD59CD">
              <w:rPr>
                <w:rFonts w:eastAsia="TTE4D8A148t00" w:cs="Times New Roman"/>
                <w:color w:val="000000"/>
                <w:sz w:val="24"/>
                <w:szCs w:val="24"/>
              </w:rPr>
              <w:t>12 ou mais</w:t>
            </w:r>
          </w:p>
        </w:tc>
      </w:tr>
      <w:tr w:rsidR="00AD59CD" w:rsidRPr="00AD59CD" w14:paraId="755B1B0F" w14:textId="77777777" w:rsidTr="0024040C">
        <w:tc>
          <w:tcPr>
            <w:tcW w:w="1140" w:type="dxa"/>
            <w:tcBorders>
              <w:left w:val="single" w:sz="2" w:space="0" w:color="000000"/>
              <w:bottom w:val="single" w:sz="2" w:space="0" w:color="000000"/>
            </w:tcBorders>
            <w:tcMar>
              <w:top w:w="55" w:type="dxa"/>
              <w:left w:w="55" w:type="dxa"/>
              <w:bottom w:w="55" w:type="dxa"/>
              <w:right w:w="55" w:type="dxa"/>
            </w:tcMar>
          </w:tcPr>
          <w:p w14:paraId="0AC3710F"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sz w:val="24"/>
                <w:szCs w:val="24"/>
              </w:rPr>
            </w:pPr>
            <w:r w:rsidRPr="00AD59CD">
              <w:rPr>
                <w:rFonts w:eastAsia="TTE4D8A148t00" w:cs="Times New Roman"/>
                <w:sz w:val="24"/>
                <w:szCs w:val="24"/>
              </w:rPr>
              <w:t>2</w:t>
            </w:r>
          </w:p>
        </w:tc>
        <w:tc>
          <w:tcPr>
            <w:tcW w:w="2235" w:type="dxa"/>
            <w:tcBorders>
              <w:left w:val="single" w:sz="2" w:space="0" w:color="000000"/>
              <w:bottom w:val="single" w:sz="2" w:space="0" w:color="000000"/>
            </w:tcBorders>
            <w:tcMar>
              <w:top w:w="55" w:type="dxa"/>
              <w:left w:w="55" w:type="dxa"/>
              <w:bottom w:w="55" w:type="dxa"/>
              <w:right w:w="55" w:type="dxa"/>
            </w:tcMar>
          </w:tcPr>
          <w:p w14:paraId="06D4F643"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color w:val="000000"/>
                <w:sz w:val="24"/>
                <w:szCs w:val="24"/>
              </w:rPr>
            </w:pPr>
            <w:r w:rsidRPr="00AD59CD">
              <w:rPr>
                <w:rFonts w:eastAsia="TTE4D8A148t00" w:cs="Times New Roman"/>
                <w:color w:val="000000"/>
                <w:sz w:val="24"/>
                <w:szCs w:val="24"/>
              </w:rPr>
              <w:t>6 a 10</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F82974"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color w:val="000000"/>
                <w:sz w:val="24"/>
                <w:szCs w:val="24"/>
              </w:rPr>
            </w:pPr>
            <w:r w:rsidRPr="00AD59CD">
              <w:rPr>
                <w:rFonts w:eastAsia="TTE4D8A148t00" w:cs="Times New Roman"/>
                <w:color w:val="000000"/>
                <w:sz w:val="24"/>
                <w:szCs w:val="24"/>
              </w:rPr>
              <w:t>11 ou mais</w:t>
            </w:r>
          </w:p>
        </w:tc>
      </w:tr>
      <w:tr w:rsidR="00AD59CD" w:rsidRPr="00AD59CD" w14:paraId="21832C5C" w14:textId="77777777" w:rsidTr="0024040C">
        <w:tc>
          <w:tcPr>
            <w:tcW w:w="1140" w:type="dxa"/>
            <w:tcBorders>
              <w:left w:val="single" w:sz="2" w:space="0" w:color="000000"/>
              <w:bottom w:val="single" w:sz="2" w:space="0" w:color="000000"/>
            </w:tcBorders>
            <w:tcMar>
              <w:top w:w="55" w:type="dxa"/>
              <w:left w:w="55" w:type="dxa"/>
              <w:bottom w:w="55" w:type="dxa"/>
              <w:right w:w="55" w:type="dxa"/>
            </w:tcMar>
          </w:tcPr>
          <w:p w14:paraId="4329F913"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sz w:val="24"/>
                <w:szCs w:val="24"/>
              </w:rPr>
            </w:pPr>
            <w:r w:rsidRPr="00AD59CD">
              <w:rPr>
                <w:rFonts w:eastAsia="TTE4D8A148t00" w:cs="Times New Roman"/>
                <w:sz w:val="24"/>
                <w:szCs w:val="24"/>
              </w:rPr>
              <w:t>3</w:t>
            </w:r>
          </w:p>
        </w:tc>
        <w:tc>
          <w:tcPr>
            <w:tcW w:w="2235" w:type="dxa"/>
            <w:tcBorders>
              <w:left w:val="single" w:sz="2" w:space="0" w:color="000000"/>
              <w:bottom w:val="single" w:sz="2" w:space="0" w:color="000000"/>
            </w:tcBorders>
            <w:tcMar>
              <w:top w:w="55" w:type="dxa"/>
              <w:left w:w="55" w:type="dxa"/>
              <w:bottom w:w="55" w:type="dxa"/>
              <w:right w:w="55" w:type="dxa"/>
            </w:tcMar>
          </w:tcPr>
          <w:p w14:paraId="3C4513A9"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color w:val="000000"/>
                <w:sz w:val="24"/>
                <w:szCs w:val="24"/>
              </w:rPr>
            </w:pPr>
            <w:r w:rsidRPr="00AD59CD">
              <w:rPr>
                <w:rFonts w:eastAsia="TTE4D8A148t00" w:cs="Times New Roman"/>
                <w:color w:val="000000"/>
                <w:sz w:val="24"/>
                <w:szCs w:val="24"/>
              </w:rPr>
              <w:t>5 a 9</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10185B"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color w:val="000000"/>
                <w:sz w:val="24"/>
                <w:szCs w:val="24"/>
              </w:rPr>
            </w:pPr>
            <w:r w:rsidRPr="00AD59CD">
              <w:rPr>
                <w:rFonts w:eastAsia="TTE4D8A148t00" w:cs="Times New Roman"/>
                <w:color w:val="000000"/>
                <w:sz w:val="24"/>
                <w:szCs w:val="24"/>
              </w:rPr>
              <w:t>10 ou mais</w:t>
            </w:r>
          </w:p>
        </w:tc>
      </w:tr>
      <w:tr w:rsidR="00AD59CD" w:rsidRPr="00AD59CD" w14:paraId="72DB2067" w14:textId="77777777" w:rsidTr="0024040C">
        <w:tc>
          <w:tcPr>
            <w:tcW w:w="1140" w:type="dxa"/>
            <w:tcBorders>
              <w:left w:val="single" w:sz="2" w:space="0" w:color="000000"/>
              <w:bottom w:val="single" w:sz="2" w:space="0" w:color="000000"/>
            </w:tcBorders>
            <w:tcMar>
              <w:top w:w="55" w:type="dxa"/>
              <w:left w:w="55" w:type="dxa"/>
              <w:bottom w:w="55" w:type="dxa"/>
              <w:right w:w="55" w:type="dxa"/>
            </w:tcMar>
          </w:tcPr>
          <w:p w14:paraId="40497BF8"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sz w:val="24"/>
                <w:szCs w:val="24"/>
              </w:rPr>
            </w:pPr>
            <w:r w:rsidRPr="00AD59CD">
              <w:rPr>
                <w:rFonts w:eastAsia="TTE4D8A148t00" w:cs="Times New Roman"/>
                <w:sz w:val="24"/>
                <w:szCs w:val="24"/>
              </w:rPr>
              <w:t>4</w:t>
            </w:r>
          </w:p>
        </w:tc>
        <w:tc>
          <w:tcPr>
            <w:tcW w:w="2235" w:type="dxa"/>
            <w:tcBorders>
              <w:left w:val="single" w:sz="2" w:space="0" w:color="000000"/>
              <w:bottom w:val="single" w:sz="2" w:space="0" w:color="000000"/>
            </w:tcBorders>
            <w:tcMar>
              <w:top w:w="55" w:type="dxa"/>
              <w:left w:w="55" w:type="dxa"/>
              <w:bottom w:w="55" w:type="dxa"/>
              <w:right w:w="55" w:type="dxa"/>
            </w:tcMar>
          </w:tcPr>
          <w:p w14:paraId="5E25BBEC"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color w:val="000000"/>
                <w:sz w:val="24"/>
                <w:szCs w:val="24"/>
              </w:rPr>
            </w:pPr>
            <w:r w:rsidRPr="00AD59CD">
              <w:rPr>
                <w:rFonts w:eastAsia="TTE4D8A148t00" w:cs="Times New Roman"/>
                <w:color w:val="000000"/>
                <w:sz w:val="24"/>
                <w:szCs w:val="24"/>
              </w:rPr>
              <w:t>4 a 6</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A73CFA"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color w:val="000000"/>
                <w:sz w:val="24"/>
                <w:szCs w:val="24"/>
              </w:rPr>
            </w:pPr>
            <w:r w:rsidRPr="00AD59CD">
              <w:rPr>
                <w:rFonts w:eastAsia="TTE4D8A148t00" w:cs="Times New Roman"/>
                <w:color w:val="000000"/>
                <w:sz w:val="24"/>
                <w:szCs w:val="24"/>
              </w:rPr>
              <w:t>7 ou mais</w:t>
            </w:r>
          </w:p>
        </w:tc>
      </w:tr>
      <w:tr w:rsidR="00AD59CD" w:rsidRPr="00AD59CD" w14:paraId="1AC8C420" w14:textId="77777777" w:rsidTr="0024040C">
        <w:tc>
          <w:tcPr>
            <w:tcW w:w="1140" w:type="dxa"/>
            <w:tcBorders>
              <w:left w:val="single" w:sz="2" w:space="0" w:color="000000"/>
              <w:bottom w:val="single" w:sz="2" w:space="0" w:color="000000"/>
            </w:tcBorders>
            <w:tcMar>
              <w:top w:w="55" w:type="dxa"/>
              <w:left w:w="55" w:type="dxa"/>
              <w:bottom w:w="55" w:type="dxa"/>
              <w:right w:w="55" w:type="dxa"/>
            </w:tcMar>
          </w:tcPr>
          <w:p w14:paraId="5B770A99"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sz w:val="24"/>
                <w:szCs w:val="24"/>
              </w:rPr>
            </w:pPr>
            <w:r w:rsidRPr="00AD59CD">
              <w:rPr>
                <w:rFonts w:eastAsia="TTE4D8A148t00" w:cs="Times New Roman"/>
                <w:sz w:val="24"/>
                <w:szCs w:val="24"/>
              </w:rPr>
              <w:t>5</w:t>
            </w:r>
          </w:p>
        </w:tc>
        <w:tc>
          <w:tcPr>
            <w:tcW w:w="2235" w:type="dxa"/>
            <w:tcBorders>
              <w:left w:val="single" w:sz="2" w:space="0" w:color="000000"/>
              <w:bottom w:val="single" w:sz="2" w:space="0" w:color="000000"/>
            </w:tcBorders>
            <w:tcMar>
              <w:top w:w="55" w:type="dxa"/>
              <w:left w:w="55" w:type="dxa"/>
              <w:bottom w:w="55" w:type="dxa"/>
              <w:right w:w="55" w:type="dxa"/>
            </w:tcMar>
          </w:tcPr>
          <w:p w14:paraId="00DE811A"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color w:val="000000"/>
                <w:sz w:val="24"/>
                <w:szCs w:val="24"/>
              </w:rPr>
            </w:pPr>
            <w:r w:rsidRPr="00AD59CD">
              <w:rPr>
                <w:rFonts w:eastAsia="TTE4D8A148t00" w:cs="Times New Roman"/>
                <w:color w:val="000000"/>
                <w:sz w:val="24"/>
                <w:szCs w:val="24"/>
              </w:rPr>
              <w:t>3 a 4</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0B7D09"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color w:val="000000"/>
                <w:sz w:val="24"/>
                <w:szCs w:val="24"/>
              </w:rPr>
            </w:pPr>
            <w:r w:rsidRPr="00AD59CD">
              <w:rPr>
                <w:rFonts w:eastAsia="TTE4D8A148t00" w:cs="Times New Roman"/>
                <w:color w:val="000000"/>
                <w:sz w:val="24"/>
                <w:szCs w:val="24"/>
              </w:rPr>
              <w:t>5 ou mais</w:t>
            </w:r>
          </w:p>
        </w:tc>
      </w:tr>
      <w:tr w:rsidR="00AD59CD" w:rsidRPr="00AD59CD" w14:paraId="3920D408" w14:textId="77777777" w:rsidTr="0024040C">
        <w:tc>
          <w:tcPr>
            <w:tcW w:w="1140" w:type="dxa"/>
            <w:tcBorders>
              <w:left w:val="single" w:sz="2" w:space="0" w:color="000000"/>
              <w:bottom w:val="single" w:sz="2" w:space="0" w:color="000000"/>
            </w:tcBorders>
            <w:tcMar>
              <w:top w:w="55" w:type="dxa"/>
              <w:left w:w="55" w:type="dxa"/>
              <w:bottom w:w="55" w:type="dxa"/>
              <w:right w:w="55" w:type="dxa"/>
            </w:tcMar>
          </w:tcPr>
          <w:p w14:paraId="2318B666"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sz w:val="24"/>
                <w:szCs w:val="24"/>
              </w:rPr>
            </w:pPr>
            <w:r w:rsidRPr="00AD59CD">
              <w:rPr>
                <w:rFonts w:eastAsia="TTE4D8A148t00" w:cs="Times New Roman"/>
                <w:sz w:val="24"/>
                <w:szCs w:val="24"/>
              </w:rPr>
              <w:t>6</w:t>
            </w:r>
          </w:p>
        </w:tc>
        <w:tc>
          <w:tcPr>
            <w:tcW w:w="2235" w:type="dxa"/>
            <w:tcBorders>
              <w:left w:val="single" w:sz="2" w:space="0" w:color="000000"/>
              <w:bottom w:val="single" w:sz="2" w:space="0" w:color="000000"/>
            </w:tcBorders>
            <w:tcMar>
              <w:top w:w="55" w:type="dxa"/>
              <w:left w:w="55" w:type="dxa"/>
              <w:bottom w:w="55" w:type="dxa"/>
              <w:right w:w="55" w:type="dxa"/>
            </w:tcMar>
          </w:tcPr>
          <w:p w14:paraId="061A386E"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color w:val="000000"/>
                <w:sz w:val="24"/>
                <w:szCs w:val="24"/>
              </w:rPr>
            </w:pPr>
            <w:r w:rsidRPr="00AD59CD">
              <w:rPr>
                <w:rFonts w:eastAsia="TTE4D8A148t00" w:cs="Times New Roman"/>
                <w:color w:val="000000"/>
                <w:sz w:val="24"/>
                <w:szCs w:val="24"/>
              </w:rPr>
              <w:t>2</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F3917A" w14:textId="77777777" w:rsidR="00AD59CD" w:rsidRPr="00AD59CD" w:rsidRDefault="00AD59CD" w:rsidP="0024040C">
            <w:pPr>
              <w:pStyle w:val="Standard"/>
              <w:suppressLineNumbers/>
              <w:shd w:val="clear" w:color="auto" w:fill="FFFFFF" w:themeFill="background1"/>
              <w:spacing w:before="57" w:after="57" w:line="360" w:lineRule="auto"/>
              <w:jc w:val="center"/>
              <w:rPr>
                <w:rFonts w:eastAsia="TTE4D8A148t00" w:cs="Times New Roman"/>
                <w:color w:val="000000"/>
                <w:sz w:val="24"/>
                <w:szCs w:val="24"/>
              </w:rPr>
            </w:pPr>
            <w:r w:rsidRPr="00AD59CD">
              <w:rPr>
                <w:rFonts w:eastAsia="TTE4D8A148t00" w:cs="Times New Roman"/>
                <w:color w:val="000000"/>
                <w:sz w:val="24"/>
                <w:szCs w:val="24"/>
              </w:rPr>
              <w:t>3 ou mais</w:t>
            </w:r>
          </w:p>
        </w:tc>
      </w:tr>
    </w:tbl>
    <w:p w14:paraId="2FB3F7F2" w14:textId="28CB21A5" w:rsidR="00B13802" w:rsidRPr="00AD59CD" w:rsidRDefault="00B13802"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13D6719D" w14:textId="24D15021" w:rsidR="0031340D" w:rsidRPr="00AD59CD" w:rsidRDefault="0031340D"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0CFBCF65" w14:textId="334FFB28" w:rsidR="0031340D" w:rsidRDefault="0031340D"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1E63007B" w14:textId="57162515" w:rsidR="0031340D" w:rsidRDefault="0031340D"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275534CC" w14:textId="32126A39" w:rsidR="006163E8" w:rsidRPr="00A10558" w:rsidRDefault="006163E8">
      <w:pPr>
        <w:spacing w:line="360" w:lineRule="auto"/>
        <w:jc w:val="center"/>
        <w:rPr>
          <w:rFonts w:cs="Times New Roman"/>
        </w:rPr>
      </w:pPr>
      <w:r w:rsidRPr="00A10558">
        <w:rPr>
          <w:rFonts w:cs="Times New Roman"/>
          <w:b/>
          <w:u w:val="single"/>
        </w:rPr>
        <w:t xml:space="preserve">EDITAL DE LICITAÇÃO </w:t>
      </w:r>
      <w:r w:rsidR="0048594A" w:rsidRPr="00A10558">
        <w:rPr>
          <w:rFonts w:cs="Times New Roman"/>
          <w:b/>
          <w:u w:val="single"/>
        </w:rPr>
        <w:t xml:space="preserve">Nº </w:t>
      </w:r>
      <w:r w:rsidR="00E72DEC" w:rsidRPr="00A10558">
        <w:rPr>
          <w:rFonts w:cs="Times New Roman"/>
          <w:b/>
          <w:u w:val="single"/>
        </w:rPr>
        <w:t>0</w:t>
      </w:r>
      <w:r w:rsidR="000C1062">
        <w:rPr>
          <w:rFonts w:cs="Times New Roman"/>
          <w:b/>
          <w:u w:val="single"/>
        </w:rPr>
        <w:t>7</w:t>
      </w:r>
      <w:r w:rsidR="005564FC" w:rsidRPr="00A10558">
        <w:rPr>
          <w:rFonts w:cs="Times New Roman"/>
          <w:b/>
          <w:u w:val="single"/>
        </w:rPr>
        <w:t>/202</w:t>
      </w:r>
      <w:r w:rsidR="00E72DEC" w:rsidRPr="00A10558">
        <w:rPr>
          <w:rFonts w:cs="Times New Roman"/>
          <w:b/>
          <w:u w:val="single"/>
        </w:rPr>
        <w:t>1</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79624DEF" w14:textId="0D5490E8" w:rsidR="006163E8" w:rsidRPr="00A10558" w:rsidRDefault="006163E8">
      <w:pPr>
        <w:spacing w:line="360" w:lineRule="auto"/>
        <w:jc w:val="center"/>
        <w:rPr>
          <w:rFonts w:cs="Times New Roman"/>
          <w:b/>
          <w:bCs/>
          <w:spacing w:val="-3"/>
          <w:u w:val="single"/>
        </w:rPr>
      </w:pPr>
      <w:r w:rsidRPr="00A10558">
        <w:rPr>
          <w:rFonts w:cs="Times New Roman"/>
          <w:b/>
          <w:bCs/>
          <w:u w:val="single"/>
        </w:rPr>
        <w:t xml:space="preserve">SEI </w:t>
      </w:r>
      <w:hyperlink r:id="rId24" w:anchor="_blank" w:history="1">
        <w:r w:rsidR="00F10B0B" w:rsidRPr="00A10558">
          <w:rPr>
            <w:rStyle w:val="Hyperlink"/>
            <w:rFonts w:cs="Times New Roman"/>
            <w:b/>
            <w:color w:val="000000"/>
          </w:rPr>
          <w:t>19.00.6</w:t>
        </w:r>
        <w:r w:rsidR="000C1062">
          <w:rPr>
            <w:rStyle w:val="Hyperlink"/>
            <w:rFonts w:cs="Times New Roman"/>
            <w:b/>
            <w:color w:val="000000"/>
          </w:rPr>
          <w:t>321</w:t>
        </w:r>
        <w:r w:rsidR="00F10B0B" w:rsidRPr="00A10558">
          <w:rPr>
            <w:rStyle w:val="Hyperlink"/>
            <w:rFonts w:cs="Times New Roman"/>
            <w:b/>
            <w:color w:val="000000"/>
          </w:rPr>
          <w:t>.00</w:t>
        </w:r>
        <w:r w:rsidR="000C1062">
          <w:rPr>
            <w:rStyle w:val="Hyperlink"/>
            <w:rFonts w:cs="Times New Roman"/>
            <w:b/>
            <w:color w:val="000000"/>
          </w:rPr>
          <w:t>00847</w:t>
        </w:r>
        <w:r w:rsidR="00F10B0B" w:rsidRPr="00A10558">
          <w:rPr>
            <w:rStyle w:val="Hyperlink"/>
            <w:rFonts w:cs="Times New Roman"/>
            <w:b/>
            <w:color w:val="000000"/>
          </w:rPr>
          <w:t>/202</w:t>
        </w:r>
        <w:r w:rsidR="00771888">
          <w:rPr>
            <w:rStyle w:val="Hyperlink"/>
            <w:rFonts w:cs="Times New Roman"/>
            <w:b/>
            <w:color w:val="000000"/>
          </w:rPr>
          <w:t>1</w:t>
        </w:r>
        <w:r w:rsidR="00F10B0B" w:rsidRPr="00A10558">
          <w:rPr>
            <w:rStyle w:val="Hyperlink"/>
            <w:rFonts w:cs="Times New Roman"/>
            <w:b/>
            <w:color w:val="000000"/>
          </w:rPr>
          <w:t>-</w:t>
        </w:r>
      </w:hyperlink>
      <w:r w:rsidR="00771888">
        <w:rPr>
          <w:rStyle w:val="Hyperlink"/>
          <w:rFonts w:cs="Times New Roman"/>
          <w:b/>
          <w:color w:val="000000"/>
        </w:rPr>
        <w:t>91</w:t>
      </w:r>
      <w:r w:rsidR="00A119E4" w:rsidRPr="00A10558">
        <w:rPr>
          <w:rStyle w:val="Hyperlink"/>
          <w:rFonts w:cs="Times New Roman"/>
          <w:b/>
          <w:color w:val="000000"/>
        </w:rPr>
        <w:t xml:space="preserve"> </w:t>
      </w:r>
    </w:p>
    <w:p w14:paraId="3AA1BA18" w14:textId="77777777"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A10558" w:rsidRDefault="006163E8">
      <w:pPr>
        <w:autoSpaceDE w:val="0"/>
        <w:spacing w:line="360" w:lineRule="auto"/>
        <w:jc w:val="center"/>
        <w:rPr>
          <w:rFonts w:eastAsia="Arial-BoldMT" w:cs="Times New Roman"/>
          <w:b/>
          <w:bCs/>
          <w:highlight w:val="white"/>
        </w:rPr>
      </w:pPr>
    </w:p>
    <w:p w14:paraId="1E1640A4" w14:textId="09B7FA94" w:rsidR="006163E8" w:rsidRDefault="006163E8">
      <w:pPr>
        <w:autoSpaceDE w:val="0"/>
        <w:spacing w:line="360" w:lineRule="auto"/>
        <w:jc w:val="center"/>
        <w:rPr>
          <w:rFonts w:eastAsia="Arial-BoldMT" w:cs="Times New Roman"/>
          <w:b/>
          <w:bCs/>
          <w:u w:val="single"/>
        </w:rPr>
      </w:pPr>
      <w:r w:rsidRPr="00A10558">
        <w:rPr>
          <w:rFonts w:eastAsia="Arial-BoldMT" w:cs="Times New Roman"/>
          <w:b/>
          <w:bCs/>
          <w:u w:val="single"/>
        </w:rPr>
        <w:t>PLANILHA DE FORMAÇÃO DE PREÇO</w:t>
      </w:r>
    </w:p>
    <w:p w14:paraId="7214B064" w14:textId="77777777" w:rsidR="00564C1D" w:rsidRPr="00A10558" w:rsidRDefault="00564C1D">
      <w:pPr>
        <w:autoSpaceDE w:val="0"/>
        <w:spacing w:line="360" w:lineRule="auto"/>
        <w:jc w:val="center"/>
        <w:rPr>
          <w:rFonts w:cs="Times New Roman"/>
        </w:rPr>
      </w:pPr>
    </w:p>
    <w:p w14:paraId="007DCDA8" w14:textId="77777777" w:rsidR="006163E8" w:rsidRPr="00A10558" w:rsidRDefault="006163E8">
      <w:pPr>
        <w:jc w:val="center"/>
        <w:rPr>
          <w:rFonts w:cs="Times New Roman"/>
          <w:b/>
        </w:rPr>
      </w:pPr>
    </w:p>
    <w:p w14:paraId="2BF95C13" w14:textId="5D5408CF" w:rsidR="006163E8" w:rsidRPr="00A10558" w:rsidRDefault="006163E8">
      <w:pPr>
        <w:jc w:val="both"/>
        <w:rPr>
          <w:rFonts w:cs="Times New Roman"/>
        </w:rPr>
      </w:pPr>
      <w:r w:rsidRPr="00A10558">
        <w:rPr>
          <w:rFonts w:cs="Times New Roman"/>
          <w:b/>
        </w:rPr>
        <w:t xml:space="preserve">AO CONSELHO NACIONAL DO MINISTÉRIO PÚBLICO – PREGÃO ELETRÔNICO </w:t>
      </w:r>
      <w:r w:rsidR="0048594A" w:rsidRPr="00A10558">
        <w:rPr>
          <w:rFonts w:cs="Times New Roman"/>
          <w:b/>
        </w:rPr>
        <w:t xml:space="preserve">Nº </w:t>
      </w:r>
      <w:r w:rsidR="00E72DEC" w:rsidRPr="00A10558">
        <w:rPr>
          <w:rFonts w:cs="Times New Roman"/>
          <w:b/>
        </w:rPr>
        <w:t>0</w:t>
      </w:r>
      <w:r w:rsidR="00771888">
        <w:rPr>
          <w:rFonts w:cs="Times New Roman"/>
          <w:b/>
        </w:rPr>
        <w:t>7</w:t>
      </w:r>
      <w:r w:rsidR="005564FC" w:rsidRPr="00A10558">
        <w:rPr>
          <w:rFonts w:cs="Times New Roman"/>
          <w:b/>
        </w:rPr>
        <w:t>/202</w:t>
      </w:r>
      <w:r w:rsidR="00E72DEC" w:rsidRPr="00A10558">
        <w:rPr>
          <w:rFonts w:cs="Times New Roman"/>
          <w:b/>
        </w:rPr>
        <w:t>1</w:t>
      </w:r>
    </w:p>
    <w:p w14:paraId="450EA2D7" w14:textId="77777777" w:rsidR="006163E8" w:rsidRPr="00A10558" w:rsidRDefault="006163E8">
      <w:pPr>
        <w:rPr>
          <w:rFonts w:cs="Times New Roman"/>
          <w:b/>
        </w:rPr>
      </w:pPr>
    </w:p>
    <w:p w14:paraId="0BE6497D"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
          <w:bCs/>
          <w:sz w:val="24"/>
          <w:szCs w:val="24"/>
        </w:rPr>
        <w:t>Dados da Empresa</w:t>
      </w:r>
    </w:p>
    <w:p w14:paraId="5F304B23"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Razão Social:</w:t>
      </w:r>
    </w:p>
    <w:p w14:paraId="366FB5C1"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CNPJ:</w:t>
      </w:r>
    </w:p>
    <w:p w14:paraId="0E3E0C02" w14:textId="77777777" w:rsidR="006163E8" w:rsidRPr="00A10558" w:rsidRDefault="006163E8">
      <w:pPr>
        <w:pStyle w:val="Framecontents"/>
        <w:spacing w:after="0"/>
        <w:ind w:right="158"/>
        <w:rPr>
          <w:rFonts w:ascii="Times New Roman" w:hAnsi="Times New Roman" w:cs="Times New Roman"/>
          <w:sz w:val="24"/>
          <w:szCs w:val="24"/>
        </w:rPr>
      </w:pPr>
      <w:r w:rsidRPr="00A10558">
        <w:rPr>
          <w:rFonts w:ascii="Times New Roman" w:eastAsia="Arial" w:hAnsi="Times New Roman" w:cs="Times New Roman"/>
          <w:bCs/>
          <w:sz w:val="24"/>
          <w:szCs w:val="24"/>
        </w:rPr>
        <w:t>Endereço Eletrônico (</w:t>
      </w:r>
      <w:r w:rsidRPr="00A10558">
        <w:rPr>
          <w:rFonts w:ascii="Times New Roman" w:eastAsia="Arial" w:hAnsi="Times New Roman" w:cs="Times New Roman"/>
          <w:bCs/>
          <w:i/>
          <w:iCs/>
          <w:sz w:val="24"/>
          <w:szCs w:val="24"/>
        </w:rPr>
        <w:t>e-mail</w:t>
      </w:r>
      <w:r w:rsidRPr="00A10558">
        <w:rPr>
          <w:rFonts w:ascii="Times New Roman" w:eastAsia="Arial" w:hAnsi="Times New Roman" w:cs="Times New Roman"/>
          <w:bCs/>
          <w:sz w:val="24"/>
          <w:szCs w:val="24"/>
        </w:rPr>
        <w:t xml:space="preserve">):  </w:t>
      </w:r>
    </w:p>
    <w:p w14:paraId="0E6DAE45" w14:textId="77777777" w:rsidR="006163E8" w:rsidRPr="00A10558" w:rsidRDefault="006163E8">
      <w:pPr>
        <w:pStyle w:val="Standard"/>
        <w:autoSpaceDE w:val="0"/>
        <w:rPr>
          <w:rFonts w:cs="Times New Roman"/>
          <w:sz w:val="24"/>
          <w:szCs w:val="24"/>
        </w:rPr>
      </w:pPr>
      <w:proofErr w:type="spellStart"/>
      <w:r w:rsidRPr="00A10558">
        <w:rPr>
          <w:rFonts w:eastAsia="Arial" w:cs="Times New Roman"/>
          <w:bCs/>
          <w:sz w:val="24"/>
          <w:szCs w:val="24"/>
        </w:rPr>
        <w:t>Tel</w:t>
      </w:r>
      <w:proofErr w:type="spellEnd"/>
      <w:r w:rsidRPr="00A10558">
        <w:rPr>
          <w:rFonts w:eastAsia="Arial" w:cs="Times New Roman"/>
          <w:bCs/>
          <w:sz w:val="24"/>
          <w:szCs w:val="24"/>
        </w:rPr>
        <w:t>/Fax:</w:t>
      </w:r>
    </w:p>
    <w:p w14:paraId="3FE68D7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Endereço:</w:t>
      </w:r>
    </w:p>
    <w:p w14:paraId="1ABA2DAA" w14:textId="1EBFE81D" w:rsidR="006163E8" w:rsidRDefault="006163E8">
      <w:pPr>
        <w:pStyle w:val="Standard"/>
        <w:rPr>
          <w:rFonts w:cs="Times New Roman"/>
          <w:sz w:val="24"/>
          <w:szCs w:val="24"/>
        </w:rPr>
      </w:pPr>
      <w:r w:rsidRPr="00A10558">
        <w:rPr>
          <w:rFonts w:cs="Times New Roman"/>
          <w:sz w:val="24"/>
          <w:szCs w:val="24"/>
        </w:rPr>
        <w:t>Banco: Agência: C/C:</w:t>
      </w:r>
    </w:p>
    <w:p w14:paraId="433856B5" w14:textId="77777777" w:rsidR="00564C1D" w:rsidRPr="00A10558" w:rsidRDefault="00564C1D">
      <w:pPr>
        <w:pStyle w:val="Standard"/>
        <w:rPr>
          <w:rFonts w:cs="Times New Roman"/>
          <w:sz w:val="24"/>
          <w:szCs w:val="24"/>
        </w:rPr>
      </w:pPr>
    </w:p>
    <w:p w14:paraId="3DD355C9" w14:textId="77777777" w:rsidR="006163E8" w:rsidRPr="00A10558" w:rsidRDefault="006163E8">
      <w:pPr>
        <w:pStyle w:val="Standard"/>
        <w:rPr>
          <w:rFonts w:cs="Times New Roman"/>
          <w:sz w:val="24"/>
          <w:szCs w:val="24"/>
        </w:rPr>
      </w:pPr>
    </w:p>
    <w:p w14:paraId="5F973B6D" w14:textId="77777777" w:rsidR="006163E8" w:rsidRPr="00A10558" w:rsidRDefault="006163E8">
      <w:pPr>
        <w:pStyle w:val="Standard"/>
        <w:autoSpaceDE w:val="0"/>
        <w:rPr>
          <w:rFonts w:cs="Times New Roman"/>
          <w:sz w:val="24"/>
          <w:szCs w:val="24"/>
        </w:rPr>
      </w:pPr>
      <w:r w:rsidRPr="00A10558">
        <w:rPr>
          <w:rFonts w:eastAsia="Arial" w:cs="Times New Roman"/>
          <w:b/>
          <w:bCs/>
          <w:sz w:val="24"/>
          <w:szCs w:val="24"/>
        </w:rPr>
        <w:t>Dados do Representante Legal, responsável pela assinatura do Contrato</w:t>
      </w:r>
    </w:p>
    <w:p w14:paraId="52D499DD"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Nome:</w:t>
      </w:r>
    </w:p>
    <w:p w14:paraId="5D3B88EA"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Função:</w:t>
      </w:r>
    </w:p>
    <w:p w14:paraId="7617AF7E"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CPF:</w:t>
      </w:r>
    </w:p>
    <w:p w14:paraId="1AA31507" w14:textId="77777777" w:rsidR="006163E8" w:rsidRPr="00A10558" w:rsidRDefault="006163E8">
      <w:pPr>
        <w:pStyle w:val="Standard"/>
        <w:autoSpaceDE w:val="0"/>
        <w:rPr>
          <w:rFonts w:cs="Times New Roman"/>
          <w:sz w:val="24"/>
          <w:szCs w:val="24"/>
        </w:rPr>
      </w:pPr>
      <w:r w:rsidRPr="00A10558">
        <w:rPr>
          <w:rFonts w:eastAsia="Arial" w:cs="Times New Roman"/>
          <w:bCs/>
          <w:sz w:val="24"/>
          <w:szCs w:val="24"/>
        </w:rPr>
        <w:t>Telefone/Fax:</w:t>
      </w:r>
    </w:p>
    <w:p w14:paraId="2D6EF6FF" w14:textId="25C956D7" w:rsidR="006163E8" w:rsidRDefault="006163E8">
      <w:pPr>
        <w:pStyle w:val="Standard"/>
        <w:autoSpaceDE w:val="0"/>
        <w:rPr>
          <w:rFonts w:eastAsia="Arial" w:cs="Times New Roman"/>
          <w:b/>
          <w:sz w:val="24"/>
          <w:szCs w:val="24"/>
        </w:rPr>
      </w:pPr>
      <w:r w:rsidRPr="00A10558">
        <w:rPr>
          <w:rFonts w:eastAsia="Arial" w:cs="Times New Roman"/>
          <w:b/>
          <w:sz w:val="24"/>
          <w:szCs w:val="24"/>
        </w:rPr>
        <w:t>Endereço Eletrônico (</w:t>
      </w:r>
      <w:r w:rsidRPr="00A10558">
        <w:rPr>
          <w:rFonts w:eastAsia="Arial" w:cs="Times New Roman"/>
          <w:b/>
          <w:i/>
          <w:iCs/>
          <w:sz w:val="24"/>
          <w:szCs w:val="24"/>
        </w:rPr>
        <w:t>e-mail</w:t>
      </w:r>
      <w:r w:rsidRPr="00A10558">
        <w:rPr>
          <w:rFonts w:eastAsia="Arial" w:cs="Times New Roman"/>
          <w:b/>
          <w:sz w:val="24"/>
          <w:szCs w:val="24"/>
        </w:rPr>
        <w:t>):</w:t>
      </w:r>
    </w:p>
    <w:p w14:paraId="38154681" w14:textId="233E98E2" w:rsidR="00564C1D" w:rsidRDefault="00564C1D">
      <w:pPr>
        <w:pStyle w:val="Standard"/>
        <w:autoSpaceDE w:val="0"/>
        <w:rPr>
          <w:rFonts w:eastAsia="Arial" w:cs="Times New Roman"/>
          <w:b/>
          <w:sz w:val="24"/>
          <w:szCs w:val="24"/>
        </w:rPr>
      </w:pPr>
    </w:p>
    <w:p w14:paraId="31F361C8" w14:textId="77777777" w:rsidR="00564C1D" w:rsidRPr="00D826B7" w:rsidRDefault="00564C1D" w:rsidP="00564C1D">
      <w:pPr>
        <w:pStyle w:val="Standard"/>
        <w:rPr>
          <w:rFonts w:ascii="Arial" w:hAnsi="Arial" w:cs="Arial"/>
          <w:b/>
          <w:bCs/>
        </w:rPr>
      </w:pPr>
    </w:p>
    <w:tbl>
      <w:tblPr>
        <w:tblW w:w="10565" w:type="dxa"/>
        <w:tblInd w:w="-3" w:type="dxa"/>
        <w:tblLayout w:type="fixed"/>
        <w:tblCellMar>
          <w:left w:w="10" w:type="dxa"/>
          <w:right w:w="10" w:type="dxa"/>
        </w:tblCellMar>
        <w:tblLook w:val="04A0" w:firstRow="1" w:lastRow="0" w:firstColumn="1" w:lastColumn="0" w:noHBand="0" w:noVBand="1"/>
      </w:tblPr>
      <w:tblGrid>
        <w:gridCol w:w="851"/>
        <w:gridCol w:w="709"/>
        <w:gridCol w:w="3969"/>
        <w:gridCol w:w="850"/>
        <w:gridCol w:w="1134"/>
        <w:gridCol w:w="1559"/>
        <w:gridCol w:w="1493"/>
      </w:tblGrid>
      <w:tr w:rsidR="00564C1D" w14:paraId="27B5B15A" w14:textId="77777777" w:rsidTr="0024040C">
        <w:trPr>
          <w:trHeight w:val="650"/>
        </w:trPr>
        <w:tc>
          <w:tcPr>
            <w:tcW w:w="851" w:type="dxa"/>
            <w:tcBorders>
              <w:top w:val="single" w:sz="2" w:space="0" w:color="000000"/>
              <w:left w:val="single" w:sz="2" w:space="0" w:color="000000"/>
              <w:bottom w:val="single" w:sz="4" w:space="0" w:color="auto"/>
              <w:right w:val="nil"/>
            </w:tcBorders>
            <w:shd w:val="clear" w:color="auto" w:fill="E7E6E6" w:themeFill="background2"/>
            <w:vAlign w:val="center"/>
            <w:hideMark/>
          </w:tcPr>
          <w:p w14:paraId="60FAF0C6" w14:textId="77777777" w:rsidR="00564C1D" w:rsidRPr="00A21D76" w:rsidRDefault="00564C1D" w:rsidP="0024040C">
            <w:pPr>
              <w:pStyle w:val="Standard"/>
              <w:spacing w:before="57" w:after="57" w:line="360" w:lineRule="auto"/>
              <w:jc w:val="center"/>
              <w:rPr>
                <w:rFonts w:ascii="Arial" w:hAnsi="Arial" w:cs="Arial"/>
                <w:b/>
                <w:bCs/>
              </w:rPr>
            </w:pPr>
            <w:r w:rsidRPr="00A21D76">
              <w:rPr>
                <w:rFonts w:ascii="Arial" w:hAnsi="Arial" w:cs="Arial"/>
                <w:b/>
                <w:bCs/>
              </w:rPr>
              <w:t>LOTE</w:t>
            </w:r>
          </w:p>
        </w:tc>
        <w:tc>
          <w:tcPr>
            <w:tcW w:w="70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15F3C1D6" w14:textId="77777777" w:rsidR="00564C1D" w:rsidRPr="00A21D76" w:rsidRDefault="00564C1D" w:rsidP="0024040C">
            <w:pPr>
              <w:pStyle w:val="Standard"/>
              <w:spacing w:before="57" w:after="57" w:line="360" w:lineRule="auto"/>
              <w:jc w:val="center"/>
              <w:rPr>
                <w:rFonts w:ascii="Arial" w:hAnsi="Arial" w:cs="Arial"/>
                <w:b/>
                <w:bCs/>
              </w:rPr>
            </w:pPr>
            <w:r w:rsidRPr="00A21D76">
              <w:rPr>
                <w:rFonts w:ascii="Arial" w:hAnsi="Arial" w:cs="Arial"/>
                <w:b/>
                <w:bCs/>
              </w:rPr>
              <w:t>ITEM</w:t>
            </w:r>
          </w:p>
        </w:tc>
        <w:tc>
          <w:tcPr>
            <w:tcW w:w="396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435FE36B" w14:textId="77777777" w:rsidR="00564C1D" w:rsidRPr="00A21D76" w:rsidRDefault="00564C1D" w:rsidP="0024040C">
            <w:pPr>
              <w:pStyle w:val="Standard"/>
              <w:spacing w:before="57" w:after="57" w:line="360" w:lineRule="auto"/>
              <w:jc w:val="center"/>
              <w:rPr>
                <w:rFonts w:ascii="Arial" w:hAnsi="Arial" w:cs="Arial"/>
                <w:b/>
                <w:bCs/>
              </w:rPr>
            </w:pPr>
            <w:r w:rsidRPr="00A21D76">
              <w:rPr>
                <w:rFonts w:ascii="Arial" w:hAnsi="Arial" w:cs="Arial"/>
                <w:b/>
                <w:bCs/>
              </w:rPr>
              <w:t>DESCRIÇÃO</w:t>
            </w:r>
          </w:p>
        </w:tc>
        <w:tc>
          <w:tcPr>
            <w:tcW w:w="850"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0A44DF2" w14:textId="77777777" w:rsidR="00564C1D" w:rsidRPr="00A21D76" w:rsidRDefault="00564C1D" w:rsidP="0024040C">
            <w:pPr>
              <w:pStyle w:val="Standard"/>
              <w:spacing w:before="57" w:after="57" w:line="360" w:lineRule="auto"/>
              <w:jc w:val="center"/>
              <w:rPr>
                <w:rFonts w:ascii="Arial" w:hAnsi="Arial" w:cs="Arial"/>
                <w:b/>
                <w:bCs/>
              </w:rPr>
            </w:pPr>
            <w:r w:rsidRPr="00A21D76">
              <w:rPr>
                <w:rFonts w:ascii="Arial" w:hAnsi="Arial" w:cs="Arial"/>
                <w:b/>
                <w:bCs/>
              </w:rPr>
              <w:t>QUANT</w:t>
            </w:r>
          </w:p>
        </w:tc>
        <w:tc>
          <w:tcPr>
            <w:tcW w:w="1134"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4A4F2118" w14:textId="77777777" w:rsidR="00564C1D" w:rsidRPr="00A21D76" w:rsidRDefault="00564C1D" w:rsidP="0024040C">
            <w:pPr>
              <w:pStyle w:val="Standard"/>
              <w:spacing w:before="57" w:after="57" w:line="360" w:lineRule="auto"/>
              <w:jc w:val="center"/>
              <w:rPr>
                <w:rFonts w:ascii="Arial" w:hAnsi="Arial" w:cs="Arial"/>
                <w:b/>
                <w:bCs/>
              </w:rPr>
            </w:pPr>
            <w:r w:rsidRPr="00A21D76">
              <w:rPr>
                <w:rFonts w:ascii="Arial" w:hAnsi="Arial" w:cs="Arial"/>
                <w:b/>
                <w:bCs/>
              </w:rPr>
              <w:t>UNIDADE</w:t>
            </w:r>
          </w:p>
        </w:tc>
        <w:tc>
          <w:tcPr>
            <w:tcW w:w="155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58B569F0" w14:textId="77777777" w:rsidR="00564C1D" w:rsidRPr="00A21D76" w:rsidRDefault="00564C1D" w:rsidP="0024040C">
            <w:pPr>
              <w:pStyle w:val="Standard"/>
              <w:spacing w:before="57" w:after="57" w:line="360" w:lineRule="auto"/>
              <w:jc w:val="center"/>
              <w:rPr>
                <w:rFonts w:ascii="Arial" w:hAnsi="Arial" w:cs="Arial"/>
                <w:b/>
                <w:bCs/>
              </w:rPr>
            </w:pPr>
            <w:r w:rsidRPr="00A21D76">
              <w:rPr>
                <w:rFonts w:ascii="Arial" w:hAnsi="Arial" w:cs="Arial"/>
                <w:b/>
                <w:bCs/>
              </w:rPr>
              <w:t>PREÇO UNITÁRIO</w:t>
            </w:r>
            <w:r>
              <w:rPr>
                <w:rFonts w:ascii="Arial" w:hAnsi="Arial" w:cs="Arial"/>
                <w:b/>
                <w:bCs/>
              </w:rPr>
              <w:t xml:space="preserve"> (R$)</w:t>
            </w:r>
          </w:p>
        </w:tc>
        <w:tc>
          <w:tcPr>
            <w:tcW w:w="1493" w:type="dxa"/>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hideMark/>
          </w:tcPr>
          <w:p w14:paraId="42ADFC52" w14:textId="77777777" w:rsidR="00564C1D" w:rsidRPr="00A21D76" w:rsidRDefault="00564C1D" w:rsidP="0024040C">
            <w:pPr>
              <w:pStyle w:val="Standard"/>
              <w:spacing w:before="57" w:after="57" w:line="360" w:lineRule="auto"/>
              <w:jc w:val="center"/>
              <w:rPr>
                <w:rFonts w:ascii="Arial" w:hAnsi="Arial" w:cs="Arial"/>
                <w:b/>
                <w:bCs/>
              </w:rPr>
            </w:pPr>
            <w:r w:rsidRPr="00A21D76">
              <w:rPr>
                <w:rFonts w:ascii="Arial" w:hAnsi="Arial" w:cs="Arial"/>
                <w:b/>
                <w:bCs/>
              </w:rPr>
              <w:t>PREÇO GLOBAL</w:t>
            </w:r>
            <w:r>
              <w:rPr>
                <w:rFonts w:ascii="Arial" w:hAnsi="Arial" w:cs="Arial"/>
                <w:b/>
                <w:bCs/>
              </w:rPr>
              <w:t xml:space="preserve"> (R$)</w:t>
            </w:r>
          </w:p>
        </w:tc>
      </w:tr>
      <w:tr w:rsidR="00564C1D" w14:paraId="153C1B35" w14:textId="77777777" w:rsidTr="0024040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061A231" w14:textId="77777777" w:rsidR="00564C1D" w:rsidRDefault="00564C1D" w:rsidP="0024040C">
            <w:pPr>
              <w:jc w:val="center"/>
              <w:rPr>
                <w:rFonts w:ascii="Arial" w:hAnsi="Arial" w:cs="Arial"/>
                <w:b/>
                <w:bCs/>
                <w:sz w:val="20"/>
                <w:szCs w:val="20"/>
              </w:rPr>
            </w:pPr>
            <w:r>
              <w:rPr>
                <w:rFonts w:ascii="Arial" w:hAnsi="Arial" w:cs="Arial"/>
                <w:b/>
                <w:bCs/>
                <w:sz w:val="20"/>
                <w:szCs w:val="20"/>
              </w:rPr>
              <w:t>LOTE 1</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3C97D2C5" w14:textId="77777777" w:rsidR="00564C1D" w:rsidRDefault="00564C1D" w:rsidP="0024040C">
            <w:pPr>
              <w:pStyle w:val="Standard"/>
              <w:spacing w:before="57" w:after="57" w:line="360" w:lineRule="auto"/>
              <w:jc w:val="center"/>
              <w:rPr>
                <w:rFonts w:ascii="Arial" w:hAnsi="Arial" w:cs="Arial"/>
              </w:rPr>
            </w:pPr>
            <w:r>
              <w:rPr>
                <w:rFonts w:ascii="Arial" w:hAnsi="Arial" w:cs="Arial"/>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277DA669" w14:textId="77777777" w:rsidR="00564C1D" w:rsidRDefault="00564C1D" w:rsidP="0024040C">
            <w:pPr>
              <w:pStyle w:val="Standard"/>
              <w:spacing w:before="57" w:after="57" w:line="360" w:lineRule="auto"/>
              <w:jc w:val="center"/>
              <w:rPr>
                <w:rFonts w:ascii="Arial" w:hAnsi="Arial" w:cs="Arial"/>
                <w:shd w:val="clear" w:color="auto" w:fill="FFFFFF" w:themeFill="background1"/>
              </w:rPr>
            </w:pPr>
            <w:r>
              <w:rPr>
                <w:rFonts w:ascii="Arial" w:hAnsi="Arial" w:cs="Arial"/>
                <w:shd w:val="clear" w:color="auto" w:fill="FFFFFF" w:themeFill="background1"/>
              </w:rPr>
              <w:t xml:space="preserve">Subscrição de licenças </w:t>
            </w:r>
            <w:r w:rsidRPr="00F048B0">
              <w:rPr>
                <w:rFonts w:ascii="Arial" w:hAnsi="Arial" w:cs="Arial"/>
                <w:i/>
                <w:iCs/>
                <w:shd w:val="clear" w:color="auto" w:fill="FFFFFF" w:themeFill="background1"/>
              </w:rPr>
              <w:t xml:space="preserve">Tableau </w:t>
            </w:r>
            <w:proofErr w:type="spellStart"/>
            <w:r w:rsidRPr="00F048B0">
              <w:rPr>
                <w:rFonts w:ascii="Arial" w:hAnsi="Arial" w:cs="Arial"/>
                <w:i/>
                <w:iCs/>
                <w:shd w:val="clear" w:color="auto" w:fill="FFFFFF" w:themeFill="background1"/>
              </w:rPr>
              <w:t>Viewer</w:t>
            </w:r>
            <w:proofErr w:type="spellEnd"/>
            <w:r>
              <w:rPr>
                <w:rFonts w:ascii="Arial" w:hAnsi="Arial" w:cs="Arial"/>
                <w:shd w:val="clear" w:color="auto" w:fill="FFFFFF" w:themeFill="background1"/>
              </w:rPr>
              <w:t xml:space="preserve"> mediante substituição de licença perpétua</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1A65E004" w14:textId="77777777" w:rsidR="00564C1D" w:rsidRDefault="00564C1D" w:rsidP="0024040C">
            <w:pPr>
              <w:pStyle w:val="Standard"/>
              <w:spacing w:before="57" w:after="57" w:line="360" w:lineRule="auto"/>
              <w:jc w:val="center"/>
              <w:rPr>
                <w:rFonts w:ascii="Arial" w:hAnsi="Arial" w:cs="Arial"/>
                <w:highlight w:val="red"/>
              </w:rPr>
            </w:pPr>
            <w:r>
              <w:rPr>
                <w:rFonts w:ascii="Arial" w:hAnsi="Arial" w:cs="Arial"/>
              </w:rPr>
              <w:t>88</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514FB312" w14:textId="77777777" w:rsidR="00564C1D" w:rsidRDefault="00564C1D" w:rsidP="0024040C">
            <w:pPr>
              <w:pStyle w:val="Standard"/>
              <w:spacing w:before="57" w:after="57" w:line="360" w:lineRule="auto"/>
              <w:jc w:val="center"/>
              <w:rPr>
                <w:rFonts w:ascii="Arial" w:hAnsi="Arial" w:cs="Arial"/>
              </w:rPr>
            </w:pPr>
            <w:r>
              <w:rPr>
                <w:rFonts w:ascii="Arial" w:hAnsi="Arial" w:cs="Arial"/>
              </w:rPr>
              <w:t>Subscrição</w:t>
            </w:r>
          </w:p>
          <w:p w14:paraId="7995AD86" w14:textId="77777777" w:rsidR="00564C1D" w:rsidRDefault="00564C1D" w:rsidP="0024040C">
            <w:pPr>
              <w:pStyle w:val="Standard"/>
              <w:spacing w:before="57" w:after="57" w:line="360" w:lineRule="auto"/>
              <w:jc w:val="center"/>
              <w:rPr>
                <w:rFonts w:ascii="Arial" w:hAnsi="Arial" w:cs="Arial"/>
              </w:rPr>
            </w:pPr>
            <w:r>
              <w:rPr>
                <w:rFonts w:ascii="Arial" w:hAnsi="Arial" w:cs="Arial"/>
              </w:rPr>
              <w:t>(36 meses)</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E2EF4C6" w14:textId="542FAA7B" w:rsidR="00564C1D" w:rsidRDefault="00564C1D" w:rsidP="0024040C">
            <w:pPr>
              <w:pStyle w:val="Standard"/>
              <w:spacing w:before="57" w:after="57" w:line="360" w:lineRule="auto"/>
              <w:jc w:val="center"/>
              <w:rPr>
                <w:rFonts w:ascii="Arial" w:hAnsi="Arial" w:cs="Arial"/>
              </w:rPr>
            </w:pP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A713CF3" w14:textId="3469A6C5" w:rsidR="00564C1D" w:rsidRDefault="00564C1D" w:rsidP="0024040C">
            <w:pPr>
              <w:pStyle w:val="Standard"/>
              <w:spacing w:before="57" w:after="57" w:line="360" w:lineRule="auto"/>
              <w:jc w:val="center"/>
              <w:rPr>
                <w:rFonts w:ascii="Arial" w:hAnsi="Arial" w:cs="Arial"/>
              </w:rPr>
            </w:pPr>
          </w:p>
        </w:tc>
      </w:tr>
      <w:tr w:rsidR="00564C1D" w14:paraId="66E039AF" w14:textId="77777777" w:rsidTr="0024040C">
        <w:tc>
          <w:tcPr>
            <w:tcW w:w="851" w:type="dxa"/>
            <w:vMerge/>
            <w:tcBorders>
              <w:top w:val="single" w:sz="4" w:space="0" w:color="auto"/>
              <w:left w:val="single" w:sz="4" w:space="0" w:color="auto"/>
              <w:bottom w:val="single" w:sz="4" w:space="0" w:color="auto"/>
              <w:right w:val="single" w:sz="4" w:space="0" w:color="auto"/>
            </w:tcBorders>
            <w:vAlign w:val="center"/>
            <w:hideMark/>
          </w:tcPr>
          <w:p w14:paraId="3DEC8D6E" w14:textId="77777777" w:rsidR="00564C1D" w:rsidRDefault="00564C1D" w:rsidP="0024040C">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36FA923F" w14:textId="77777777" w:rsidR="00564C1D" w:rsidRDefault="00564C1D" w:rsidP="0024040C">
            <w:pPr>
              <w:pStyle w:val="Standard"/>
              <w:spacing w:before="57" w:after="57" w:line="360" w:lineRule="auto"/>
              <w:jc w:val="center"/>
              <w:rPr>
                <w:rFonts w:ascii="Arial" w:hAnsi="Arial" w:cs="Arial"/>
              </w:rPr>
            </w:pPr>
            <w:r>
              <w:rPr>
                <w:rFonts w:ascii="Arial" w:hAnsi="Arial" w:cs="Arial"/>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45C95A32" w14:textId="77777777" w:rsidR="00564C1D" w:rsidRDefault="00564C1D" w:rsidP="0024040C">
            <w:pPr>
              <w:pStyle w:val="Standard"/>
              <w:spacing w:before="57" w:after="57" w:line="360" w:lineRule="auto"/>
              <w:jc w:val="center"/>
              <w:rPr>
                <w:rFonts w:ascii="Arial" w:hAnsi="Arial" w:cs="Arial"/>
                <w:shd w:val="clear" w:color="auto" w:fill="FFFFFF" w:themeFill="background1"/>
              </w:rPr>
            </w:pPr>
            <w:r>
              <w:rPr>
                <w:rFonts w:ascii="Arial" w:hAnsi="Arial" w:cs="Arial"/>
                <w:shd w:val="clear" w:color="auto" w:fill="FFFFFF" w:themeFill="background1"/>
              </w:rPr>
              <w:t xml:space="preserve">Subscrição de licenças de </w:t>
            </w:r>
            <w:r w:rsidRPr="00F048B0">
              <w:rPr>
                <w:rFonts w:ascii="Arial" w:hAnsi="Arial" w:cs="Arial"/>
                <w:i/>
                <w:iCs/>
                <w:shd w:val="clear" w:color="auto" w:fill="FFFFFF" w:themeFill="background1"/>
              </w:rPr>
              <w:t xml:space="preserve">Tableau </w:t>
            </w:r>
            <w:proofErr w:type="spellStart"/>
            <w:r w:rsidRPr="00F048B0">
              <w:rPr>
                <w:rFonts w:ascii="Arial" w:hAnsi="Arial" w:cs="Arial"/>
                <w:i/>
                <w:iCs/>
                <w:shd w:val="clear" w:color="auto" w:fill="FFFFFF" w:themeFill="background1"/>
              </w:rPr>
              <w:t>Creator</w:t>
            </w:r>
            <w:proofErr w:type="spellEnd"/>
            <w:r>
              <w:rPr>
                <w:rFonts w:ascii="Arial" w:hAnsi="Arial" w:cs="Arial"/>
                <w:shd w:val="clear" w:color="auto" w:fill="FFFFFF" w:themeFill="background1"/>
              </w:rPr>
              <w:t xml:space="preserve"> mediante substituição de licença perpétua</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58960BCD" w14:textId="77777777" w:rsidR="00564C1D" w:rsidRDefault="00564C1D" w:rsidP="0024040C">
            <w:pPr>
              <w:pStyle w:val="Standard"/>
              <w:spacing w:before="57" w:after="57" w:line="360" w:lineRule="auto"/>
              <w:jc w:val="center"/>
              <w:rPr>
                <w:rFonts w:ascii="Arial" w:hAnsi="Arial" w:cs="Arial"/>
                <w:highlight w:val="red"/>
              </w:rPr>
            </w:pPr>
            <w:r>
              <w:rPr>
                <w:rFonts w:ascii="Arial" w:hAnsi="Arial" w:cs="Arial"/>
              </w:rPr>
              <w:t>32</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0F4F96EF" w14:textId="77777777" w:rsidR="00564C1D" w:rsidRDefault="00564C1D" w:rsidP="0024040C">
            <w:pPr>
              <w:pStyle w:val="Standard"/>
              <w:spacing w:before="57" w:after="57" w:line="360" w:lineRule="auto"/>
              <w:jc w:val="center"/>
              <w:rPr>
                <w:rFonts w:ascii="Arial" w:hAnsi="Arial" w:cs="Arial"/>
              </w:rPr>
            </w:pPr>
            <w:r>
              <w:rPr>
                <w:rFonts w:ascii="Arial" w:hAnsi="Arial" w:cs="Arial"/>
              </w:rPr>
              <w:t>Subscrição</w:t>
            </w:r>
          </w:p>
          <w:p w14:paraId="7B5E1208" w14:textId="77777777" w:rsidR="00564C1D" w:rsidRDefault="00564C1D" w:rsidP="0024040C">
            <w:pPr>
              <w:pStyle w:val="Standard"/>
              <w:spacing w:before="57" w:after="57" w:line="360" w:lineRule="auto"/>
              <w:jc w:val="center"/>
              <w:rPr>
                <w:rFonts w:ascii="Arial" w:hAnsi="Arial" w:cs="Arial"/>
              </w:rPr>
            </w:pPr>
            <w:r>
              <w:rPr>
                <w:rFonts w:ascii="Arial" w:hAnsi="Arial" w:cs="Arial"/>
              </w:rPr>
              <w:t>(36 meses)</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2E6BA7C" w14:textId="3E2759CB" w:rsidR="00564C1D" w:rsidRDefault="00564C1D" w:rsidP="0024040C">
            <w:pPr>
              <w:pStyle w:val="Standard"/>
              <w:spacing w:before="57" w:after="57" w:line="360" w:lineRule="auto"/>
              <w:jc w:val="center"/>
              <w:rPr>
                <w:rFonts w:ascii="Arial" w:hAnsi="Arial" w:cs="Arial"/>
              </w:rPr>
            </w:pP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88D115F" w14:textId="43AC257F" w:rsidR="00564C1D" w:rsidRDefault="00564C1D" w:rsidP="0024040C">
            <w:pPr>
              <w:pStyle w:val="Standard"/>
              <w:spacing w:before="57" w:after="57" w:line="360" w:lineRule="auto"/>
              <w:jc w:val="center"/>
              <w:rPr>
                <w:rFonts w:ascii="Arial" w:hAnsi="Arial" w:cs="Arial"/>
              </w:rPr>
            </w:pPr>
          </w:p>
        </w:tc>
      </w:tr>
      <w:tr w:rsidR="00564C1D" w14:paraId="1EE67234" w14:textId="77777777" w:rsidTr="0024040C">
        <w:tc>
          <w:tcPr>
            <w:tcW w:w="907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11D60D" w14:textId="77777777" w:rsidR="00564C1D" w:rsidRDefault="00564C1D" w:rsidP="0024040C">
            <w:pPr>
              <w:pStyle w:val="Standard"/>
              <w:spacing w:before="57" w:after="57" w:line="360" w:lineRule="auto"/>
              <w:jc w:val="center"/>
              <w:rPr>
                <w:rFonts w:ascii="Arial" w:hAnsi="Arial" w:cs="Arial"/>
                <w:color w:val="FFFFFF" w:themeColor="background1"/>
              </w:rPr>
            </w:pPr>
            <w:r w:rsidRPr="00A21D76">
              <w:rPr>
                <w:rFonts w:ascii="Arial" w:hAnsi="Arial" w:cs="Arial"/>
                <w:b/>
                <w:bCs/>
              </w:rPr>
              <w:t>TOTAL GLOBAL (R$)</w:t>
            </w:r>
          </w:p>
        </w:tc>
        <w:tc>
          <w:tcPr>
            <w:tcW w:w="14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4D84A5" w14:textId="73B221A1" w:rsidR="00564C1D" w:rsidRPr="00364FEC" w:rsidRDefault="00564C1D" w:rsidP="0024040C">
            <w:pPr>
              <w:pStyle w:val="Standard"/>
              <w:spacing w:before="57" w:after="57" w:line="360" w:lineRule="auto"/>
              <w:jc w:val="center"/>
              <w:rPr>
                <w:rFonts w:ascii="Arial" w:hAnsi="Arial" w:cs="Arial"/>
                <w:b/>
                <w:bCs/>
                <w:color w:val="FFFFFF" w:themeColor="background1"/>
              </w:rPr>
            </w:pPr>
          </w:p>
        </w:tc>
      </w:tr>
    </w:tbl>
    <w:p w14:paraId="337BDDA9" w14:textId="77777777" w:rsidR="00564C1D" w:rsidRDefault="00564C1D">
      <w:pPr>
        <w:pStyle w:val="Standard"/>
        <w:autoSpaceDE w:val="0"/>
        <w:rPr>
          <w:rFonts w:eastAsia="Arial" w:cs="Times New Roman"/>
          <w:b/>
          <w:sz w:val="24"/>
          <w:szCs w:val="24"/>
        </w:rPr>
      </w:pPr>
    </w:p>
    <w:p w14:paraId="4E513E8E" w14:textId="77777777" w:rsidR="006163E8" w:rsidRPr="00A10558" w:rsidRDefault="006163E8">
      <w:pPr>
        <w:pStyle w:val="Standard"/>
        <w:autoSpaceDE w:val="0"/>
        <w:spacing w:before="57" w:after="57" w:line="360" w:lineRule="auto"/>
        <w:jc w:val="both"/>
        <w:rPr>
          <w:rFonts w:cs="Times New Roman"/>
          <w:sz w:val="24"/>
          <w:szCs w:val="24"/>
        </w:rPr>
      </w:pPr>
      <w:proofErr w:type="spellStart"/>
      <w:r w:rsidRPr="00A10558">
        <w:rPr>
          <w:rFonts w:cs="Times New Roman"/>
          <w:sz w:val="24"/>
          <w:szCs w:val="24"/>
        </w:rPr>
        <w:t>Obs</w:t>
      </w:r>
      <w:proofErr w:type="spellEnd"/>
      <w:r w:rsidRPr="00A10558">
        <w:rPr>
          <w:rFonts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6363441B" w:rsidR="006163E8" w:rsidRDefault="006163E8">
      <w:pPr>
        <w:pStyle w:val="Standard"/>
        <w:jc w:val="both"/>
        <w:rPr>
          <w:rFonts w:cs="Times New Roman"/>
          <w:sz w:val="24"/>
          <w:szCs w:val="24"/>
        </w:rPr>
      </w:pPr>
      <w:r w:rsidRPr="00A10558">
        <w:rPr>
          <w:rFonts w:cs="Times New Roman"/>
          <w:sz w:val="24"/>
          <w:szCs w:val="24"/>
        </w:rPr>
        <w:t>Obs. 2 – Declaramos de que a empresa possui todos os requisitos exigidos no edital e no termo de referência para o cumprimento do objeto contratual.</w:t>
      </w:r>
    </w:p>
    <w:p w14:paraId="72389E4A" w14:textId="011D7EF6" w:rsidR="00564C1D" w:rsidRDefault="00564C1D">
      <w:pPr>
        <w:pStyle w:val="Standard"/>
        <w:jc w:val="both"/>
        <w:rPr>
          <w:rFonts w:cs="Times New Roman"/>
          <w:sz w:val="24"/>
          <w:szCs w:val="24"/>
        </w:rPr>
      </w:pPr>
    </w:p>
    <w:p w14:paraId="639C636E" w14:textId="019F586B" w:rsidR="00564C1D" w:rsidRDefault="00564C1D">
      <w:pPr>
        <w:pStyle w:val="Standard"/>
        <w:jc w:val="both"/>
        <w:rPr>
          <w:rFonts w:cs="Times New Roman"/>
          <w:sz w:val="24"/>
          <w:szCs w:val="24"/>
        </w:rPr>
      </w:pPr>
    </w:p>
    <w:p w14:paraId="590FBD90" w14:textId="4BE81C19" w:rsidR="00564C1D" w:rsidRDefault="00564C1D">
      <w:pPr>
        <w:pStyle w:val="Standard"/>
        <w:jc w:val="both"/>
        <w:rPr>
          <w:rFonts w:cs="Times New Roman"/>
          <w:sz w:val="24"/>
          <w:szCs w:val="24"/>
        </w:rPr>
      </w:pPr>
    </w:p>
    <w:p w14:paraId="228AC7C5" w14:textId="411E9E7E" w:rsidR="00564C1D" w:rsidRDefault="00564C1D">
      <w:pPr>
        <w:pStyle w:val="Standard"/>
        <w:jc w:val="both"/>
        <w:rPr>
          <w:rFonts w:cs="Times New Roman"/>
          <w:sz w:val="24"/>
          <w:szCs w:val="24"/>
        </w:rPr>
      </w:pPr>
    </w:p>
    <w:p w14:paraId="4EB31E04" w14:textId="48935BEA" w:rsidR="00564C1D" w:rsidRDefault="00564C1D">
      <w:pPr>
        <w:pStyle w:val="Standard"/>
        <w:jc w:val="both"/>
        <w:rPr>
          <w:rFonts w:cs="Times New Roman"/>
          <w:sz w:val="24"/>
          <w:szCs w:val="24"/>
        </w:rPr>
      </w:pPr>
    </w:p>
    <w:p w14:paraId="5839FF64" w14:textId="440781EF" w:rsidR="00564C1D" w:rsidRDefault="00564C1D">
      <w:pPr>
        <w:pStyle w:val="Standard"/>
        <w:jc w:val="both"/>
        <w:rPr>
          <w:rFonts w:cs="Times New Roman"/>
          <w:sz w:val="24"/>
          <w:szCs w:val="24"/>
        </w:rPr>
      </w:pPr>
    </w:p>
    <w:p w14:paraId="6F108929" w14:textId="686AD3D7" w:rsidR="00564C1D" w:rsidRDefault="00564C1D">
      <w:pPr>
        <w:pStyle w:val="Standard"/>
        <w:jc w:val="both"/>
        <w:rPr>
          <w:rFonts w:cs="Times New Roman"/>
          <w:sz w:val="24"/>
          <w:szCs w:val="24"/>
        </w:rPr>
      </w:pPr>
    </w:p>
    <w:p w14:paraId="654DD950" w14:textId="7696B5B7" w:rsidR="00564C1D" w:rsidRDefault="00564C1D">
      <w:pPr>
        <w:pStyle w:val="Standard"/>
        <w:jc w:val="both"/>
        <w:rPr>
          <w:rFonts w:cs="Times New Roman"/>
          <w:sz w:val="24"/>
          <w:szCs w:val="24"/>
        </w:rPr>
      </w:pPr>
    </w:p>
    <w:p w14:paraId="0EC61DA7" w14:textId="616C3FFF" w:rsidR="00564C1D" w:rsidRDefault="00564C1D">
      <w:pPr>
        <w:pStyle w:val="Standard"/>
        <w:jc w:val="both"/>
        <w:rPr>
          <w:rFonts w:cs="Times New Roman"/>
          <w:sz w:val="24"/>
          <w:szCs w:val="24"/>
        </w:rPr>
      </w:pPr>
    </w:p>
    <w:p w14:paraId="10DFF98C" w14:textId="7B753683" w:rsidR="00564C1D" w:rsidRDefault="00564C1D">
      <w:pPr>
        <w:pStyle w:val="Standard"/>
        <w:jc w:val="both"/>
        <w:rPr>
          <w:rFonts w:cs="Times New Roman"/>
          <w:sz w:val="24"/>
          <w:szCs w:val="24"/>
        </w:rPr>
      </w:pPr>
    </w:p>
    <w:p w14:paraId="5AB94ACE" w14:textId="1177AD8F" w:rsidR="00564C1D" w:rsidRDefault="00564C1D">
      <w:pPr>
        <w:pStyle w:val="Standard"/>
        <w:jc w:val="both"/>
        <w:rPr>
          <w:rFonts w:cs="Times New Roman"/>
          <w:sz w:val="24"/>
          <w:szCs w:val="24"/>
        </w:rPr>
      </w:pPr>
    </w:p>
    <w:p w14:paraId="374A0FEE" w14:textId="2F51F428" w:rsidR="00564C1D" w:rsidRDefault="00564C1D">
      <w:pPr>
        <w:pStyle w:val="Standard"/>
        <w:jc w:val="both"/>
        <w:rPr>
          <w:rFonts w:cs="Times New Roman"/>
          <w:sz w:val="24"/>
          <w:szCs w:val="24"/>
        </w:rPr>
      </w:pPr>
    </w:p>
    <w:p w14:paraId="76105C13" w14:textId="6CA931EC" w:rsidR="00564C1D" w:rsidRDefault="00564C1D">
      <w:pPr>
        <w:pStyle w:val="Standard"/>
        <w:jc w:val="both"/>
        <w:rPr>
          <w:rFonts w:cs="Times New Roman"/>
          <w:sz w:val="24"/>
          <w:szCs w:val="24"/>
        </w:rPr>
      </w:pPr>
    </w:p>
    <w:p w14:paraId="31ED0FAA" w14:textId="6E7EBA02" w:rsidR="00564C1D" w:rsidRDefault="00564C1D">
      <w:pPr>
        <w:pStyle w:val="Standard"/>
        <w:jc w:val="both"/>
        <w:rPr>
          <w:rFonts w:cs="Times New Roman"/>
          <w:sz w:val="24"/>
          <w:szCs w:val="24"/>
        </w:rPr>
      </w:pPr>
    </w:p>
    <w:p w14:paraId="0EB2C2FC" w14:textId="7AEEF285" w:rsidR="00564C1D" w:rsidRDefault="00564C1D">
      <w:pPr>
        <w:pStyle w:val="Standard"/>
        <w:jc w:val="both"/>
        <w:rPr>
          <w:rFonts w:cs="Times New Roman"/>
          <w:sz w:val="24"/>
          <w:szCs w:val="24"/>
        </w:rPr>
      </w:pPr>
    </w:p>
    <w:p w14:paraId="3BDAC244" w14:textId="525B7E8C" w:rsidR="00564C1D" w:rsidRDefault="00564C1D">
      <w:pPr>
        <w:pStyle w:val="Standard"/>
        <w:jc w:val="both"/>
        <w:rPr>
          <w:rFonts w:cs="Times New Roman"/>
          <w:sz w:val="24"/>
          <w:szCs w:val="24"/>
        </w:rPr>
      </w:pPr>
    </w:p>
    <w:p w14:paraId="1B12A484" w14:textId="353E25C2" w:rsidR="00564C1D" w:rsidRDefault="00564C1D">
      <w:pPr>
        <w:pStyle w:val="Standard"/>
        <w:jc w:val="both"/>
        <w:rPr>
          <w:rFonts w:cs="Times New Roman"/>
          <w:sz w:val="24"/>
          <w:szCs w:val="24"/>
        </w:rPr>
      </w:pPr>
    </w:p>
    <w:p w14:paraId="2C3B5A18" w14:textId="7BFC23A8" w:rsidR="00564C1D" w:rsidRDefault="00564C1D">
      <w:pPr>
        <w:pStyle w:val="Standard"/>
        <w:jc w:val="both"/>
        <w:rPr>
          <w:rFonts w:cs="Times New Roman"/>
          <w:sz w:val="24"/>
          <w:szCs w:val="24"/>
        </w:rPr>
      </w:pPr>
    </w:p>
    <w:p w14:paraId="12F0D52D" w14:textId="3C2EDD9D" w:rsidR="00564C1D" w:rsidRDefault="00564C1D">
      <w:pPr>
        <w:pStyle w:val="Standard"/>
        <w:jc w:val="both"/>
        <w:rPr>
          <w:rFonts w:cs="Times New Roman"/>
          <w:sz w:val="24"/>
          <w:szCs w:val="24"/>
        </w:rPr>
      </w:pPr>
    </w:p>
    <w:p w14:paraId="6CF8A7B3" w14:textId="1A466BCD" w:rsidR="00564C1D" w:rsidRDefault="00564C1D">
      <w:pPr>
        <w:pStyle w:val="Standard"/>
        <w:jc w:val="both"/>
        <w:rPr>
          <w:rFonts w:cs="Times New Roman"/>
          <w:sz w:val="24"/>
          <w:szCs w:val="24"/>
        </w:rPr>
      </w:pPr>
    </w:p>
    <w:p w14:paraId="1AA24EFF" w14:textId="5FBD56F7" w:rsidR="00564C1D" w:rsidRDefault="00564C1D">
      <w:pPr>
        <w:pStyle w:val="Standard"/>
        <w:jc w:val="both"/>
        <w:rPr>
          <w:rFonts w:cs="Times New Roman"/>
          <w:sz w:val="24"/>
          <w:szCs w:val="24"/>
        </w:rPr>
      </w:pPr>
    </w:p>
    <w:p w14:paraId="7DBE22C2" w14:textId="0248754D" w:rsidR="00564C1D" w:rsidRDefault="00564C1D">
      <w:pPr>
        <w:pStyle w:val="Standard"/>
        <w:jc w:val="both"/>
        <w:rPr>
          <w:rFonts w:cs="Times New Roman"/>
          <w:sz w:val="24"/>
          <w:szCs w:val="24"/>
        </w:rPr>
      </w:pPr>
    </w:p>
    <w:p w14:paraId="30C8B229" w14:textId="1E67A8AA" w:rsidR="00564C1D" w:rsidRDefault="00564C1D">
      <w:pPr>
        <w:pStyle w:val="Standard"/>
        <w:jc w:val="both"/>
        <w:rPr>
          <w:rFonts w:cs="Times New Roman"/>
          <w:sz w:val="24"/>
          <w:szCs w:val="24"/>
        </w:rPr>
      </w:pPr>
    </w:p>
    <w:p w14:paraId="09BE3D1B" w14:textId="623AE2E3" w:rsidR="00564C1D" w:rsidRDefault="00564C1D">
      <w:pPr>
        <w:pStyle w:val="Standard"/>
        <w:jc w:val="both"/>
        <w:rPr>
          <w:rFonts w:cs="Times New Roman"/>
          <w:sz w:val="24"/>
          <w:szCs w:val="24"/>
        </w:rPr>
      </w:pPr>
    </w:p>
    <w:p w14:paraId="081F1382" w14:textId="2B3C0B10" w:rsidR="00564C1D" w:rsidRDefault="00564C1D">
      <w:pPr>
        <w:pStyle w:val="Standard"/>
        <w:jc w:val="both"/>
        <w:rPr>
          <w:rFonts w:cs="Times New Roman"/>
          <w:sz w:val="24"/>
          <w:szCs w:val="24"/>
        </w:rPr>
      </w:pPr>
    </w:p>
    <w:p w14:paraId="39813E6D" w14:textId="2E44BEBB" w:rsidR="00564C1D" w:rsidRDefault="00564C1D">
      <w:pPr>
        <w:pStyle w:val="Standard"/>
        <w:jc w:val="both"/>
        <w:rPr>
          <w:rFonts w:cs="Times New Roman"/>
          <w:sz w:val="24"/>
          <w:szCs w:val="24"/>
        </w:rPr>
      </w:pPr>
    </w:p>
    <w:p w14:paraId="1E55CB53" w14:textId="5C65FC41" w:rsidR="00564C1D" w:rsidRDefault="00564C1D">
      <w:pPr>
        <w:pStyle w:val="Standard"/>
        <w:jc w:val="both"/>
        <w:rPr>
          <w:rFonts w:cs="Times New Roman"/>
          <w:sz w:val="24"/>
          <w:szCs w:val="24"/>
        </w:rPr>
      </w:pPr>
    </w:p>
    <w:p w14:paraId="4F8B1FEE" w14:textId="2754D0E5" w:rsidR="00564C1D" w:rsidRDefault="00564C1D">
      <w:pPr>
        <w:pStyle w:val="Standard"/>
        <w:jc w:val="both"/>
        <w:rPr>
          <w:rFonts w:cs="Times New Roman"/>
          <w:sz w:val="24"/>
          <w:szCs w:val="24"/>
        </w:rPr>
      </w:pPr>
    </w:p>
    <w:p w14:paraId="7BDE9616" w14:textId="2530D356" w:rsidR="00564C1D" w:rsidRDefault="00564C1D">
      <w:pPr>
        <w:pStyle w:val="Standard"/>
        <w:jc w:val="both"/>
        <w:rPr>
          <w:rFonts w:cs="Times New Roman"/>
          <w:sz w:val="24"/>
          <w:szCs w:val="24"/>
        </w:rPr>
      </w:pPr>
    </w:p>
    <w:p w14:paraId="5D286222" w14:textId="71498EA9" w:rsidR="00564C1D" w:rsidRDefault="00564C1D">
      <w:pPr>
        <w:pStyle w:val="Standard"/>
        <w:jc w:val="both"/>
        <w:rPr>
          <w:rFonts w:cs="Times New Roman"/>
          <w:sz w:val="24"/>
          <w:szCs w:val="24"/>
        </w:rPr>
      </w:pPr>
    </w:p>
    <w:p w14:paraId="2DF2E135" w14:textId="59B672D0" w:rsidR="00564C1D" w:rsidRDefault="00564C1D">
      <w:pPr>
        <w:pStyle w:val="Standard"/>
        <w:jc w:val="both"/>
        <w:rPr>
          <w:rFonts w:cs="Times New Roman"/>
          <w:sz w:val="24"/>
          <w:szCs w:val="24"/>
        </w:rPr>
      </w:pPr>
    </w:p>
    <w:p w14:paraId="1FE2DD96" w14:textId="77777777" w:rsidR="006163E8" w:rsidRPr="00A10558" w:rsidRDefault="006163E8">
      <w:pPr>
        <w:pStyle w:val="Standard"/>
        <w:jc w:val="both"/>
        <w:rPr>
          <w:rFonts w:cs="Times New Roman"/>
          <w:sz w:val="24"/>
          <w:szCs w:val="24"/>
        </w:rPr>
      </w:pPr>
    </w:p>
    <w:p w14:paraId="0C38CD50" w14:textId="27CD7A52"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E72DEC" w:rsidRPr="00A10558">
        <w:rPr>
          <w:rFonts w:cs="Times New Roman"/>
          <w:b/>
          <w:sz w:val="24"/>
          <w:szCs w:val="24"/>
          <w:u w:val="single"/>
        </w:rPr>
        <w:t>0</w:t>
      </w:r>
      <w:r w:rsidR="00F97EFF">
        <w:rPr>
          <w:rFonts w:cs="Times New Roman"/>
          <w:b/>
          <w:sz w:val="24"/>
          <w:szCs w:val="24"/>
          <w:u w:val="single"/>
        </w:rPr>
        <w:t>7</w:t>
      </w:r>
      <w:r w:rsidR="005564FC" w:rsidRPr="00A10558">
        <w:rPr>
          <w:rFonts w:cs="Times New Roman"/>
          <w:b/>
          <w:sz w:val="24"/>
          <w:szCs w:val="24"/>
          <w:u w:val="single"/>
        </w:rPr>
        <w:t>/202</w:t>
      </w:r>
      <w:r w:rsidR="00E72DEC" w:rsidRPr="00A10558">
        <w:rPr>
          <w:rFonts w:cs="Times New Roman"/>
          <w:b/>
          <w:sz w:val="24"/>
          <w:szCs w:val="24"/>
          <w:u w:val="single"/>
        </w:rPr>
        <w:t>1</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74313A6" w14:textId="79853929"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25" w:anchor="_blank" w:history="1">
        <w:r w:rsidR="00F10B0B" w:rsidRPr="00A10558">
          <w:rPr>
            <w:rStyle w:val="Hyperlink"/>
            <w:rFonts w:cs="Times New Roman"/>
            <w:b/>
            <w:color w:val="000000"/>
            <w:sz w:val="24"/>
            <w:szCs w:val="24"/>
          </w:rPr>
          <w:t>19.00.6</w:t>
        </w:r>
        <w:r w:rsidR="00F97EFF">
          <w:rPr>
            <w:rStyle w:val="Hyperlink"/>
            <w:rFonts w:cs="Times New Roman"/>
            <w:b/>
            <w:color w:val="000000"/>
            <w:sz w:val="24"/>
            <w:szCs w:val="24"/>
          </w:rPr>
          <w:t>321</w:t>
        </w:r>
        <w:r w:rsidR="00F10B0B" w:rsidRPr="00A10558">
          <w:rPr>
            <w:rStyle w:val="Hyperlink"/>
            <w:rFonts w:cs="Times New Roman"/>
            <w:b/>
            <w:color w:val="000000"/>
            <w:sz w:val="24"/>
            <w:szCs w:val="24"/>
          </w:rPr>
          <w:t>.000</w:t>
        </w:r>
        <w:r w:rsidR="001A042E">
          <w:rPr>
            <w:rStyle w:val="Hyperlink"/>
            <w:rFonts w:cs="Times New Roman"/>
            <w:b/>
            <w:color w:val="000000"/>
            <w:sz w:val="24"/>
            <w:szCs w:val="24"/>
          </w:rPr>
          <w:t>0847</w:t>
        </w:r>
        <w:r w:rsidR="00F10B0B" w:rsidRPr="00A10558">
          <w:rPr>
            <w:rStyle w:val="Hyperlink"/>
            <w:rFonts w:cs="Times New Roman"/>
            <w:b/>
            <w:color w:val="000000"/>
            <w:sz w:val="24"/>
            <w:szCs w:val="24"/>
          </w:rPr>
          <w:t>/202</w:t>
        </w:r>
        <w:r w:rsidR="001A042E">
          <w:rPr>
            <w:rStyle w:val="Hyperlink"/>
            <w:rFonts w:cs="Times New Roman"/>
            <w:b/>
            <w:color w:val="000000"/>
            <w:sz w:val="24"/>
            <w:szCs w:val="24"/>
          </w:rPr>
          <w:t>1</w:t>
        </w:r>
        <w:r w:rsidR="00F10B0B" w:rsidRPr="00A10558">
          <w:rPr>
            <w:rStyle w:val="Hyperlink"/>
            <w:rFonts w:cs="Times New Roman"/>
            <w:b/>
            <w:color w:val="000000"/>
            <w:sz w:val="24"/>
            <w:szCs w:val="24"/>
          </w:rPr>
          <w:t>-</w:t>
        </w:r>
      </w:hyperlink>
      <w:r w:rsidR="00244B11">
        <w:rPr>
          <w:rStyle w:val="Hyperlink"/>
          <w:rFonts w:cs="Times New Roman"/>
          <w:b/>
          <w:color w:val="000000"/>
          <w:sz w:val="24"/>
          <w:szCs w:val="24"/>
        </w:rPr>
        <w:t>91</w:t>
      </w:r>
    </w:p>
    <w:p w14:paraId="31359640"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318C8A4E"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1456B2">
        <w:rPr>
          <w:rFonts w:eastAsia="Arial-BoldMT" w:cs="Times New Roman"/>
          <w:b/>
          <w:bCs/>
          <w:sz w:val="24"/>
          <w:szCs w:val="24"/>
        </w:rPr>
        <w:t>ÃO</w:t>
      </w:r>
      <w:r w:rsidRPr="00A10558">
        <w:rPr>
          <w:rFonts w:eastAsia="Arial-BoldMT" w:cs="Times New Roman"/>
          <w:b/>
          <w:bCs/>
          <w:sz w:val="24"/>
          <w:szCs w:val="24"/>
        </w:rPr>
        <w:t xml:space="preserve"> CNMP nº 37/2009)</w:t>
      </w:r>
    </w:p>
    <w:p w14:paraId="5BBD2E34" w14:textId="467AEE88"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57617">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022842E" w14:textId="65C77C8B" w:rsidR="00257617" w:rsidRPr="00257617" w:rsidRDefault="006163E8" w:rsidP="00257617">
      <w:pPr>
        <w:pStyle w:val="Textbody"/>
        <w:spacing w:after="0" w:line="360" w:lineRule="auto"/>
        <w:ind w:firstLine="1417"/>
        <w:jc w:val="both"/>
        <w:rPr>
          <w:rFonts w:ascii="Times New Roman" w:hAnsi="Times New Roman" w:cs="Times New Roman"/>
          <w:sz w:val="24"/>
          <w:szCs w:val="24"/>
        </w:rPr>
      </w:pPr>
      <w:r w:rsidRPr="00257617">
        <w:rPr>
          <w:rFonts w:ascii="Times New Roman" w:eastAsia="Times New Roman" w:hAnsi="Times New Roman" w:cs="Times New Roman"/>
          <w:sz w:val="24"/>
          <w:szCs w:val="24"/>
        </w:rPr>
        <w:t xml:space="preserve">            </w:t>
      </w:r>
      <w:r w:rsidRPr="00257617">
        <w:rPr>
          <w:rFonts w:ascii="Times New Roman" w:eastAsia="Arial" w:hAnsi="Times New Roman" w:cs="Times New Roman"/>
          <w:sz w:val="24"/>
          <w:szCs w:val="24"/>
        </w:rPr>
        <w:t xml:space="preserve">(   )  os sócios desta empresa, bem como seus gerentes e diretores </w:t>
      </w:r>
      <w:r w:rsidRPr="00257617">
        <w:rPr>
          <w:rFonts w:ascii="Times New Roman" w:eastAsia="Arial" w:hAnsi="Times New Roman" w:cs="Times New Roman"/>
          <w:b/>
          <w:bCs/>
          <w:sz w:val="24"/>
          <w:szCs w:val="24"/>
        </w:rPr>
        <w:t xml:space="preserve">não são </w:t>
      </w:r>
      <w:r w:rsidRPr="00257617">
        <w:rPr>
          <w:rFonts w:ascii="Times New Roman" w:eastAsia="Arial" w:hAnsi="Times New Roman" w:cs="Times New Roman"/>
          <w:sz w:val="24"/>
          <w:szCs w:val="24"/>
        </w:rPr>
        <w:t>cônjuges, companheiros(as) ou parentes em linha reta, colateral ou por afinidade, até o terceiro grau,</w:t>
      </w:r>
      <w:r w:rsidR="00257617">
        <w:rPr>
          <w:rFonts w:ascii="Times New Roman" w:eastAsia="Arial" w:hAnsi="Times New Roman" w:cs="Times New Roman"/>
          <w:sz w:val="24"/>
          <w:szCs w:val="24"/>
        </w:rPr>
        <w:t xml:space="preserve"> inclusive,</w:t>
      </w:r>
      <w:r w:rsidRPr="00257617">
        <w:rPr>
          <w:rFonts w:ascii="Times New Roman" w:eastAsia="Arial" w:hAnsi="Times New Roman" w:cs="Times New Roman"/>
          <w:sz w:val="24"/>
          <w:szCs w:val="24"/>
        </w:rPr>
        <w:t xml:space="preserve"> </w:t>
      </w:r>
      <w:r w:rsidR="00257617" w:rsidRPr="00257617">
        <w:rPr>
          <w:rFonts w:ascii="Times New Roman" w:eastAsia="Times New Roman" w:hAnsi="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FC120A">
        <w:rPr>
          <w:rFonts w:ascii="Times New Roman" w:eastAsia="Times New Roman" w:hAnsi="Times New Roman" w:cs="Times New Roman"/>
          <w:sz w:val="24"/>
          <w:szCs w:val="24"/>
        </w:rPr>
        <w:t>s</w:t>
      </w:r>
      <w:r w:rsidR="00257617" w:rsidRPr="00257617">
        <w:rPr>
          <w:rFonts w:ascii="Times New Roman" w:eastAsia="Times New Roman" w:hAnsi="Times New Roman" w:cs="Times New Roman"/>
          <w:sz w:val="24"/>
          <w:szCs w:val="24"/>
        </w:rPr>
        <w:t xml:space="preserve"> situadas na linha hierárquica da área encarregada da licitação, conforme dispõem a Resolução CNMP nº 3</w:t>
      </w:r>
      <w:r w:rsidR="00257617" w:rsidRPr="00257617">
        <w:rPr>
          <w:rFonts w:ascii="Times New Roman" w:eastAsia="Arial-BoldMT" w:hAnsi="Times New Roman" w:cs="Times New Roman"/>
          <w:sz w:val="24"/>
          <w:szCs w:val="24"/>
        </w:rPr>
        <w:t>7/2009</w:t>
      </w:r>
      <w:r w:rsidR="00257617" w:rsidRPr="00257617">
        <w:rPr>
          <w:rFonts w:ascii="Times New Roman" w:eastAsia="Times New Roman" w:hAnsi="Times New Roman" w:cs="Times New Roman"/>
          <w:sz w:val="24"/>
          <w:szCs w:val="24"/>
        </w:rPr>
        <w:t>.</w:t>
      </w:r>
    </w:p>
    <w:p w14:paraId="1A939487" w14:textId="1735A0DF" w:rsidR="006163E8" w:rsidRPr="00257617" w:rsidRDefault="006163E8" w:rsidP="00257617">
      <w:pPr>
        <w:pStyle w:val="Standard"/>
        <w:tabs>
          <w:tab w:val="left" w:pos="11524"/>
        </w:tabs>
        <w:spacing w:line="360" w:lineRule="auto"/>
        <w:ind w:right="-19"/>
        <w:jc w:val="both"/>
        <w:rPr>
          <w:rFonts w:eastAsia="ArialMT" w:cs="Times New Roman"/>
          <w:sz w:val="24"/>
          <w:szCs w:val="24"/>
        </w:rPr>
      </w:pPr>
    </w:p>
    <w:p w14:paraId="03193863" w14:textId="3101BAF0" w:rsidR="00257617" w:rsidRDefault="006163E8" w:rsidP="00257617">
      <w:pPr>
        <w:pStyle w:val="Textbody"/>
        <w:spacing w:after="0" w:line="360" w:lineRule="auto"/>
        <w:ind w:firstLine="1417"/>
        <w:jc w:val="both"/>
        <w:rPr>
          <w:rFonts w:ascii="Times New Roman" w:eastAsia="Times New Roman" w:hAnsi="Times New Roman" w:cs="Times New Roman"/>
          <w:sz w:val="24"/>
          <w:szCs w:val="24"/>
        </w:rPr>
      </w:pPr>
      <w:r w:rsidRPr="00257617">
        <w:rPr>
          <w:rFonts w:ascii="Times New Roman" w:eastAsia="Times New Roman" w:hAnsi="Times New Roman" w:cs="Times New Roman"/>
          <w:sz w:val="24"/>
          <w:szCs w:val="24"/>
        </w:rPr>
        <w:t xml:space="preserve">            </w:t>
      </w:r>
      <w:r w:rsidRPr="00257617">
        <w:rPr>
          <w:rFonts w:ascii="Times New Roman" w:eastAsia="Arial" w:hAnsi="Times New Roman" w:cs="Times New Roman"/>
          <w:sz w:val="24"/>
          <w:szCs w:val="24"/>
        </w:rPr>
        <w:t>(   )  os sócios desta empresa, bem como seus gerentes e diretores</w:t>
      </w:r>
      <w:r w:rsidRPr="00257617">
        <w:rPr>
          <w:rFonts w:ascii="Times New Roman" w:eastAsia="Arial" w:hAnsi="Times New Roman" w:cs="Times New Roman"/>
          <w:b/>
          <w:bCs/>
          <w:sz w:val="24"/>
          <w:szCs w:val="24"/>
        </w:rPr>
        <w:t xml:space="preserve"> são </w:t>
      </w:r>
      <w:r w:rsidRPr="00257617">
        <w:rPr>
          <w:rFonts w:ascii="Times New Roman" w:eastAsia="Arial" w:hAnsi="Times New Roman" w:cs="Times New Roman"/>
          <w:sz w:val="24"/>
          <w:szCs w:val="24"/>
        </w:rPr>
        <w:t xml:space="preserve">cônjuges, companheiros(as) ou parentes em linha reta, colateral ou por afinidade, até o terceiro grau, inclusive, </w:t>
      </w:r>
      <w:r w:rsidR="00257617" w:rsidRPr="00257617">
        <w:rPr>
          <w:rFonts w:ascii="Times New Roman" w:eastAsia="Times New Roman" w:hAnsi="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FC120A">
        <w:rPr>
          <w:rFonts w:ascii="Times New Roman" w:eastAsia="Times New Roman" w:hAnsi="Times New Roman" w:cs="Times New Roman"/>
          <w:sz w:val="24"/>
          <w:szCs w:val="24"/>
        </w:rPr>
        <w:t>s</w:t>
      </w:r>
      <w:r w:rsidR="00257617" w:rsidRPr="00257617">
        <w:rPr>
          <w:rFonts w:ascii="Times New Roman" w:eastAsia="Times New Roman" w:hAnsi="Times New Roman" w:cs="Times New Roman"/>
          <w:sz w:val="24"/>
          <w:szCs w:val="24"/>
        </w:rPr>
        <w:t xml:space="preserve"> situadas na linha hierárquica da área encarregada da licitação, conforme dispõem a Resolução CNMP nº 3</w:t>
      </w:r>
      <w:r w:rsidR="00257617" w:rsidRPr="00257617">
        <w:rPr>
          <w:rFonts w:ascii="Times New Roman" w:eastAsia="Arial-BoldMT" w:hAnsi="Times New Roman" w:cs="Times New Roman"/>
          <w:sz w:val="24"/>
          <w:szCs w:val="24"/>
        </w:rPr>
        <w:t>7/2009</w:t>
      </w:r>
      <w:r w:rsidR="00257617" w:rsidRPr="00257617">
        <w:rPr>
          <w:rFonts w:ascii="Times New Roman" w:eastAsia="Times New Roman" w:hAnsi="Times New Roman" w:cs="Times New Roman"/>
          <w:sz w:val="24"/>
          <w:szCs w:val="24"/>
        </w:rPr>
        <w:t xml:space="preserve">. </w:t>
      </w:r>
    </w:p>
    <w:p w14:paraId="41553DF8" w14:textId="77777777" w:rsidR="00257617" w:rsidRPr="00257617"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lastRenderedPageBreak/>
        <w:tab/>
        <w:t>Nome do membro: _____________________________________</w:t>
      </w:r>
    </w:p>
    <w:p w14:paraId="5FEAAF2B"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Cargo: _______________________________________________</w:t>
      </w:r>
    </w:p>
    <w:p w14:paraId="6E804622"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Órgão de Lotação: ______________________________________</w:t>
      </w:r>
    </w:p>
    <w:p w14:paraId="10E8F3C3" w14:textId="77777777" w:rsidR="006163E8" w:rsidRPr="00257617" w:rsidRDefault="006163E8">
      <w:pPr>
        <w:pStyle w:val="Standard"/>
        <w:spacing w:line="360" w:lineRule="auto"/>
        <w:jc w:val="both"/>
        <w:rPr>
          <w:rFonts w:cs="Times New Roman"/>
          <w:sz w:val="24"/>
          <w:szCs w:val="24"/>
        </w:rPr>
      </w:pPr>
      <w:r w:rsidRPr="00257617">
        <w:rPr>
          <w:rFonts w:eastAsia="Arial" w:cs="Times New Roman"/>
          <w:sz w:val="24"/>
          <w:szCs w:val="24"/>
        </w:rPr>
        <w:tab/>
        <w:t>Grau de Parentesco: ____________________________________</w:t>
      </w:r>
      <w:r w:rsidRPr="00257617">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257617">
        <w:rPr>
          <w:rFonts w:eastAsia="Arial" w:cs="Times New Roman"/>
          <w:sz w:val="24"/>
          <w:szCs w:val="24"/>
        </w:rPr>
        <w:t>Por ser verdade, firmo a presente, sob as penas</w:t>
      </w:r>
      <w:r w:rsidRPr="00A10558">
        <w:rPr>
          <w:rFonts w:eastAsia="Arial" w:cs="Times New Roman"/>
          <w:sz w:val="24"/>
          <w:szCs w:val="24"/>
        </w:rPr>
        <w:t xml:space="preserve">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2D4BD070"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202</w:t>
      </w:r>
      <w:r w:rsidR="00E72DEC" w:rsidRPr="00A10558">
        <w:rPr>
          <w:rFonts w:cs="Times New Roman"/>
          <w:sz w:val="24"/>
          <w:szCs w:val="24"/>
        </w:rPr>
        <w:t>1</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77777777" w:rsidR="006163E8" w:rsidRPr="00A1055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A10558" w:rsidRDefault="006163E8">
      <w:pPr>
        <w:rPr>
          <w:rFonts w:cs="Times New Roman"/>
        </w:rPr>
        <w:sectPr w:rsidR="006163E8" w:rsidRPr="00A1055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14:paraId="6234E5A0" w14:textId="1576AB39"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E72DEC" w:rsidRPr="00A10558">
        <w:rPr>
          <w:rFonts w:cs="Times New Roman"/>
          <w:b/>
          <w:sz w:val="24"/>
          <w:szCs w:val="24"/>
          <w:u w:val="single"/>
        </w:rPr>
        <w:t>0</w:t>
      </w:r>
      <w:r w:rsidR="00244B11">
        <w:rPr>
          <w:rFonts w:cs="Times New Roman"/>
          <w:b/>
          <w:sz w:val="24"/>
          <w:szCs w:val="24"/>
          <w:u w:val="single"/>
        </w:rPr>
        <w:t>7</w:t>
      </w:r>
      <w:r w:rsidR="005564FC" w:rsidRPr="00A10558">
        <w:rPr>
          <w:rFonts w:cs="Times New Roman"/>
          <w:b/>
          <w:sz w:val="24"/>
          <w:szCs w:val="24"/>
          <w:u w:val="single"/>
        </w:rPr>
        <w:t>/202</w:t>
      </w:r>
      <w:r w:rsidR="00E72DEC" w:rsidRPr="00A10558">
        <w:rPr>
          <w:rFonts w:cs="Times New Roman"/>
          <w:b/>
          <w:sz w:val="24"/>
          <w:szCs w:val="24"/>
          <w:u w:val="single"/>
        </w:rPr>
        <w:t>1</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31048180" w14:textId="52D567E2" w:rsidR="006163E8" w:rsidRPr="00A10558" w:rsidRDefault="006163E8">
      <w:pPr>
        <w:pStyle w:val="Standard"/>
        <w:spacing w:line="360" w:lineRule="auto"/>
        <w:jc w:val="center"/>
        <w:rPr>
          <w:rFonts w:cs="Times New Roman"/>
          <w:b/>
          <w:sz w:val="24"/>
          <w:szCs w:val="24"/>
          <w:u w:val="single"/>
        </w:rPr>
      </w:pPr>
      <w:r w:rsidRPr="00A10558">
        <w:rPr>
          <w:rFonts w:cs="Times New Roman"/>
          <w:b/>
          <w:bCs/>
          <w:sz w:val="24"/>
          <w:szCs w:val="24"/>
          <w:u w:val="single"/>
        </w:rPr>
        <w:t>SEI</w:t>
      </w:r>
      <w:r w:rsidRPr="00A10558">
        <w:rPr>
          <w:rFonts w:cs="Times New Roman"/>
          <w:b/>
          <w:bCs/>
          <w:color w:val="000000"/>
          <w:sz w:val="24"/>
          <w:szCs w:val="24"/>
          <w:u w:val="single"/>
        </w:rPr>
        <w:t xml:space="preserve"> </w:t>
      </w:r>
      <w:hyperlink r:id="rId32" w:anchor="_blank" w:history="1">
        <w:r w:rsidR="00F10B0B" w:rsidRPr="00A10558">
          <w:rPr>
            <w:rStyle w:val="Hyperlink"/>
            <w:rFonts w:cs="Times New Roman"/>
            <w:b/>
            <w:color w:val="000000"/>
            <w:sz w:val="24"/>
            <w:szCs w:val="24"/>
          </w:rPr>
          <w:t>19.00.6</w:t>
        </w:r>
        <w:r w:rsidR="008F50E9">
          <w:rPr>
            <w:rStyle w:val="Hyperlink"/>
            <w:rFonts w:cs="Times New Roman"/>
            <w:b/>
            <w:color w:val="000000"/>
            <w:sz w:val="24"/>
            <w:szCs w:val="24"/>
          </w:rPr>
          <w:t>321</w:t>
        </w:r>
        <w:r w:rsidR="00F10B0B" w:rsidRPr="00A10558">
          <w:rPr>
            <w:rStyle w:val="Hyperlink"/>
            <w:rFonts w:cs="Times New Roman"/>
            <w:b/>
            <w:color w:val="000000"/>
            <w:sz w:val="24"/>
            <w:szCs w:val="24"/>
          </w:rPr>
          <w:t>.000</w:t>
        </w:r>
        <w:r w:rsidR="00244B11">
          <w:rPr>
            <w:rStyle w:val="Hyperlink"/>
            <w:rFonts w:cs="Times New Roman"/>
            <w:b/>
            <w:color w:val="000000"/>
            <w:sz w:val="24"/>
            <w:szCs w:val="24"/>
          </w:rPr>
          <w:t>0487</w:t>
        </w:r>
        <w:r w:rsidR="00F10B0B" w:rsidRPr="00A10558">
          <w:rPr>
            <w:rStyle w:val="Hyperlink"/>
            <w:rFonts w:cs="Times New Roman"/>
            <w:b/>
            <w:color w:val="000000"/>
            <w:sz w:val="24"/>
            <w:szCs w:val="24"/>
          </w:rPr>
          <w:t>/202</w:t>
        </w:r>
        <w:r w:rsidR="00244B11">
          <w:rPr>
            <w:rStyle w:val="Hyperlink"/>
            <w:rFonts w:cs="Times New Roman"/>
            <w:b/>
            <w:color w:val="000000"/>
            <w:sz w:val="24"/>
            <w:szCs w:val="24"/>
          </w:rPr>
          <w:t>1</w:t>
        </w:r>
        <w:r w:rsidR="00F10B0B" w:rsidRPr="00A10558">
          <w:rPr>
            <w:rStyle w:val="Hyperlink"/>
            <w:rFonts w:cs="Times New Roman"/>
            <w:b/>
            <w:color w:val="000000"/>
            <w:sz w:val="24"/>
            <w:szCs w:val="24"/>
          </w:rPr>
          <w:t>-</w:t>
        </w:r>
      </w:hyperlink>
      <w:r w:rsidR="00244B11">
        <w:rPr>
          <w:rStyle w:val="Hyperlink"/>
          <w:rFonts w:cs="Times New Roman"/>
          <w:b/>
          <w:color w:val="000000"/>
          <w:sz w:val="24"/>
          <w:szCs w:val="24"/>
        </w:rPr>
        <w:t>91</w:t>
      </w:r>
    </w:p>
    <w:p w14:paraId="1B7A654E" w14:textId="77777777" w:rsidR="006163E8" w:rsidRPr="00A10558" w:rsidRDefault="006163E8">
      <w:pPr>
        <w:pStyle w:val="Standard"/>
        <w:autoSpaceDE w:val="0"/>
        <w:spacing w:line="100" w:lineRule="atLeast"/>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77777777"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ELETRÕNICO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3F707C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sob o regime de empreitada por preço 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6) </w:t>
      </w:r>
      <w:r w:rsidR="00F034C6" w:rsidRPr="00A10558">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7) </w:t>
      </w:r>
      <w:r w:rsidR="00F034C6" w:rsidRPr="00A10558">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8)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Default="00EA192C"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 xml:space="preserve">9)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6B4CF5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10) </w:t>
      </w:r>
      <w:r w:rsidR="00F034C6" w:rsidRPr="00A10558">
        <w:rPr>
          <w:rFonts w:eastAsia="Times New Roman" w:cs="Times New Roman"/>
          <w:sz w:val="24"/>
          <w:szCs w:val="24"/>
        </w:rPr>
        <w:t>Não caucionar ou utilizar o Contrato para qualquer operação financeira, sob pena de rescisão contratual;</w:t>
      </w:r>
    </w:p>
    <w:p w14:paraId="72B096E2" w14:textId="418469B8"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11)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0FD89B80"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12)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13)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14)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15)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16)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17) </w:t>
      </w:r>
      <w:r w:rsidR="00F034C6" w:rsidRPr="00A10558">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18) </w:t>
      </w:r>
      <w:r w:rsidR="00F034C6" w:rsidRPr="00A10558">
        <w:rPr>
          <w:rFonts w:eastAsia="Times New Roman" w:cs="Times New Roman"/>
          <w:sz w:val="24"/>
          <w:szCs w:val="24"/>
        </w:rPr>
        <w:t>Apresentar os documentos fiscais de cobrança em conformidade com o estabelecido neste Contrato.</w:t>
      </w:r>
    </w:p>
    <w:p w14:paraId="3875532D" w14:textId="432E9EB0"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19)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5749C376" w14:textId="77777777" w:rsidR="00A16FF6" w:rsidRDefault="00F034C6" w:rsidP="00A16FF6">
      <w:pPr>
        <w:pStyle w:val="Standard"/>
        <w:tabs>
          <w:tab w:val="left" w:pos="284"/>
        </w:tabs>
        <w:suppressAutoHyphens w:val="0"/>
        <w:spacing w:line="360" w:lineRule="auto"/>
        <w:jc w:val="both"/>
        <w:rPr>
          <w:rFonts w:cs="Times New Roman"/>
          <w:b/>
          <w:sz w:val="24"/>
          <w:szCs w:val="24"/>
        </w:rPr>
      </w:pPr>
      <w:r w:rsidRPr="00A10558">
        <w:rPr>
          <w:rFonts w:cs="Times New Roman"/>
          <w:b/>
          <w:sz w:val="24"/>
          <w:szCs w:val="24"/>
        </w:rPr>
        <w:t>CLÁUSULA QUINTA – DO PRAZO DE VIGÊNCIA</w:t>
      </w:r>
    </w:p>
    <w:p w14:paraId="79CBE35A" w14:textId="77777777" w:rsidR="00A16FF6" w:rsidRDefault="00A16FF6" w:rsidP="00A16FF6">
      <w:pPr>
        <w:pStyle w:val="Standard"/>
        <w:tabs>
          <w:tab w:val="left" w:pos="284"/>
        </w:tabs>
        <w:suppressAutoHyphens w:val="0"/>
        <w:spacing w:line="360" w:lineRule="auto"/>
        <w:jc w:val="both"/>
        <w:rPr>
          <w:rFonts w:cs="Times New Roman"/>
          <w:b/>
          <w:sz w:val="24"/>
          <w:szCs w:val="24"/>
        </w:rPr>
      </w:pPr>
    </w:p>
    <w:p w14:paraId="25823C35" w14:textId="65D2310B" w:rsidR="00A16FF6" w:rsidRPr="00A10558" w:rsidRDefault="00A16FF6" w:rsidP="00A16FF6">
      <w:pPr>
        <w:pStyle w:val="Standard"/>
        <w:tabs>
          <w:tab w:val="left" w:pos="284"/>
        </w:tabs>
        <w:suppressAutoHyphens w:val="0"/>
        <w:spacing w:line="360" w:lineRule="auto"/>
        <w:jc w:val="both"/>
        <w:rPr>
          <w:rFonts w:cs="Times New Roman"/>
          <w:sz w:val="24"/>
          <w:szCs w:val="24"/>
        </w:rPr>
      </w:pPr>
      <w:r>
        <w:rPr>
          <w:rFonts w:cs="Times New Roman"/>
          <w:b/>
          <w:sz w:val="24"/>
          <w:szCs w:val="24"/>
        </w:rPr>
        <w:tab/>
      </w:r>
      <w:r>
        <w:rPr>
          <w:rFonts w:cs="Times New Roman"/>
          <w:b/>
          <w:sz w:val="24"/>
          <w:szCs w:val="24"/>
        </w:rPr>
        <w:tab/>
      </w:r>
      <w:r>
        <w:rPr>
          <w:rFonts w:cs="Times New Roman"/>
          <w:b/>
          <w:sz w:val="24"/>
          <w:szCs w:val="24"/>
        </w:rPr>
        <w:tab/>
      </w:r>
      <w:r w:rsidR="00F034C6" w:rsidRPr="00A10558">
        <w:rPr>
          <w:rFonts w:cs="Times New Roman"/>
          <w:sz w:val="24"/>
          <w:szCs w:val="24"/>
        </w:rPr>
        <w:t xml:space="preserve">O presente contrato terá vigência de </w:t>
      </w:r>
      <w:r>
        <w:rPr>
          <w:rFonts w:cs="Times New Roman"/>
          <w:sz w:val="24"/>
          <w:szCs w:val="24"/>
        </w:rPr>
        <w:t>38</w:t>
      </w:r>
      <w:r w:rsidRPr="00A10558">
        <w:rPr>
          <w:rFonts w:cs="Times New Roman"/>
          <w:sz w:val="24"/>
          <w:szCs w:val="24"/>
        </w:rPr>
        <w:t xml:space="preserve"> (</w:t>
      </w:r>
      <w:r>
        <w:rPr>
          <w:rFonts w:cs="Times New Roman"/>
          <w:sz w:val="24"/>
          <w:szCs w:val="24"/>
        </w:rPr>
        <w:t>trinta e oito</w:t>
      </w:r>
      <w:r w:rsidRPr="00A10558">
        <w:rPr>
          <w:rFonts w:cs="Times New Roman"/>
          <w:sz w:val="24"/>
          <w:szCs w:val="24"/>
        </w:rPr>
        <w:t>) meses</w:t>
      </w:r>
      <w:r w:rsidRPr="00A10558">
        <w:rPr>
          <w:rFonts w:eastAsia="Arial" w:cs="Times New Roman"/>
          <w:sz w:val="24"/>
          <w:szCs w:val="24"/>
        </w:rPr>
        <w:t xml:space="preserve">, a partir da data de sua assinatura, </w:t>
      </w:r>
      <w:r>
        <w:rPr>
          <w:rFonts w:eastAsia="Arial" w:cs="Times New Roman"/>
          <w:sz w:val="24"/>
          <w:szCs w:val="24"/>
        </w:rPr>
        <w:t>conforme disposto na Seção 12 do Termo de Referência – Anexo I do Edital, não podendo ser prorrogado.</w:t>
      </w:r>
    </w:p>
    <w:p w14:paraId="0AED9292" w14:textId="79F002A1" w:rsidR="00F034C6" w:rsidRPr="00A10558" w:rsidRDefault="00F034C6" w:rsidP="00F034C6">
      <w:pPr>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0BEB75C0"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00A16FF6">
        <w:rPr>
          <w:rFonts w:eastAsia="Times New Roman" w:cs="Times New Roman"/>
          <w:sz w:val="24"/>
          <w:szCs w:val="24"/>
        </w:rPr>
        <w:t xml:space="preserve">global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1B14CEFF" w14:textId="77777777" w:rsidR="00A16FF6" w:rsidRDefault="00A16FF6" w:rsidP="00A16FF6">
      <w:pPr>
        <w:pStyle w:val="Standard"/>
        <w:autoSpaceDE w:val="0"/>
        <w:rPr>
          <w:rFonts w:eastAsia="Arial" w:cs="Times New Roman"/>
          <w:b/>
          <w:sz w:val="24"/>
          <w:szCs w:val="24"/>
        </w:rPr>
      </w:pPr>
    </w:p>
    <w:p w14:paraId="0855DE9D" w14:textId="77777777" w:rsidR="00A16FF6" w:rsidRPr="00D826B7" w:rsidRDefault="00A16FF6" w:rsidP="00A16FF6">
      <w:pPr>
        <w:pStyle w:val="Standard"/>
        <w:rPr>
          <w:rFonts w:ascii="Arial" w:hAnsi="Arial" w:cs="Arial"/>
          <w:b/>
          <w:bCs/>
        </w:rPr>
      </w:pPr>
    </w:p>
    <w:tbl>
      <w:tblPr>
        <w:tblW w:w="10565" w:type="dxa"/>
        <w:tblInd w:w="-3" w:type="dxa"/>
        <w:tblLayout w:type="fixed"/>
        <w:tblCellMar>
          <w:left w:w="10" w:type="dxa"/>
          <w:right w:w="10" w:type="dxa"/>
        </w:tblCellMar>
        <w:tblLook w:val="04A0" w:firstRow="1" w:lastRow="0" w:firstColumn="1" w:lastColumn="0" w:noHBand="0" w:noVBand="1"/>
      </w:tblPr>
      <w:tblGrid>
        <w:gridCol w:w="851"/>
        <w:gridCol w:w="709"/>
        <w:gridCol w:w="3969"/>
        <w:gridCol w:w="850"/>
        <w:gridCol w:w="1134"/>
        <w:gridCol w:w="1559"/>
        <w:gridCol w:w="1493"/>
      </w:tblGrid>
      <w:tr w:rsidR="00A16FF6" w14:paraId="157006CA" w14:textId="77777777" w:rsidTr="0024040C">
        <w:trPr>
          <w:trHeight w:val="650"/>
        </w:trPr>
        <w:tc>
          <w:tcPr>
            <w:tcW w:w="851" w:type="dxa"/>
            <w:tcBorders>
              <w:top w:val="single" w:sz="2" w:space="0" w:color="000000"/>
              <w:left w:val="single" w:sz="2" w:space="0" w:color="000000"/>
              <w:bottom w:val="single" w:sz="4" w:space="0" w:color="auto"/>
              <w:right w:val="nil"/>
            </w:tcBorders>
            <w:shd w:val="clear" w:color="auto" w:fill="E7E6E6" w:themeFill="background2"/>
            <w:vAlign w:val="center"/>
            <w:hideMark/>
          </w:tcPr>
          <w:p w14:paraId="6149D592" w14:textId="77777777" w:rsidR="00A16FF6" w:rsidRPr="00A21D76" w:rsidRDefault="00A16FF6" w:rsidP="0024040C">
            <w:pPr>
              <w:pStyle w:val="Standard"/>
              <w:spacing w:before="57" w:after="57" w:line="360" w:lineRule="auto"/>
              <w:jc w:val="center"/>
              <w:rPr>
                <w:rFonts w:ascii="Arial" w:hAnsi="Arial" w:cs="Arial"/>
                <w:b/>
                <w:bCs/>
              </w:rPr>
            </w:pPr>
            <w:r w:rsidRPr="00A21D76">
              <w:rPr>
                <w:rFonts w:ascii="Arial" w:hAnsi="Arial" w:cs="Arial"/>
                <w:b/>
                <w:bCs/>
              </w:rPr>
              <w:t>LOTE</w:t>
            </w:r>
          </w:p>
        </w:tc>
        <w:tc>
          <w:tcPr>
            <w:tcW w:w="70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68932624" w14:textId="77777777" w:rsidR="00A16FF6" w:rsidRPr="00A21D76" w:rsidRDefault="00A16FF6" w:rsidP="0024040C">
            <w:pPr>
              <w:pStyle w:val="Standard"/>
              <w:spacing w:before="57" w:after="57" w:line="360" w:lineRule="auto"/>
              <w:jc w:val="center"/>
              <w:rPr>
                <w:rFonts w:ascii="Arial" w:hAnsi="Arial" w:cs="Arial"/>
                <w:b/>
                <w:bCs/>
              </w:rPr>
            </w:pPr>
            <w:r w:rsidRPr="00A21D76">
              <w:rPr>
                <w:rFonts w:ascii="Arial" w:hAnsi="Arial" w:cs="Arial"/>
                <w:b/>
                <w:bCs/>
              </w:rPr>
              <w:t>ITEM</w:t>
            </w:r>
          </w:p>
        </w:tc>
        <w:tc>
          <w:tcPr>
            <w:tcW w:w="396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702B26B1" w14:textId="77777777" w:rsidR="00A16FF6" w:rsidRPr="00A21D76" w:rsidRDefault="00A16FF6" w:rsidP="0024040C">
            <w:pPr>
              <w:pStyle w:val="Standard"/>
              <w:spacing w:before="57" w:after="57" w:line="360" w:lineRule="auto"/>
              <w:jc w:val="center"/>
              <w:rPr>
                <w:rFonts w:ascii="Arial" w:hAnsi="Arial" w:cs="Arial"/>
                <w:b/>
                <w:bCs/>
              </w:rPr>
            </w:pPr>
            <w:r w:rsidRPr="00A21D76">
              <w:rPr>
                <w:rFonts w:ascii="Arial" w:hAnsi="Arial" w:cs="Arial"/>
                <w:b/>
                <w:bCs/>
              </w:rPr>
              <w:t>DESCRIÇÃO</w:t>
            </w:r>
          </w:p>
        </w:tc>
        <w:tc>
          <w:tcPr>
            <w:tcW w:w="850"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4278388E" w14:textId="77777777" w:rsidR="00A16FF6" w:rsidRPr="00A21D76" w:rsidRDefault="00A16FF6" w:rsidP="0024040C">
            <w:pPr>
              <w:pStyle w:val="Standard"/>
              <w:spacing w:before="57" w:after="57" w:line="360" w:lineRule="auto"/>
              <w:jc w:val="center"/>
              <w:rPr>
                <w:rFonts w:ascii="Arial" w:hAnsi="Arial" w:cs="Arial"/>
                <w:b/>
                <w:bCs/>
              </w:rPr>
            </w:pPr>
            <w:r w:rsidRPr="00A21D76">
              <w:rPr>
                <w:rFonts w:ascii="Arial" w:hAnsi="Arial" w:cs="Arial"/>
                <w:b/>
                <w:bCs/>
              </w:rPr>
              <w:t>QUANT</w:t>
            </w:r>
          </w:p>
        </w:tc>
        <w:tc>
          <w:tcPr>
            <w:tcW w:w="1134"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191E7AED" w14:textId="77777777" w:rsidR="00A16FF6" w:rsidRPr="00A21D76" w:rsidRDefault="00A16FF6" w:rsidP="0024040C">
            <w:pPr>
              <w:pStyle w:val="Standard"/>
              <w:spacing w:before="57" w:after="57" w:line="360" w:lineRule="auto"/>
              <w:jc w:val="center"/>
              <w:rPr>
                <w:rFonts w:ascii="Arial" w:hAnsi="Arial" w:cs="Arial"/>
                <w:b/>
                <w:bCs/>
              </w:rPr>
            </w:pPr>
            <w:r w:rsidRPr="00A21D76">
              <w:rPr>
                <w:rFonts w:ascii="Arial" w:hAnsi="Arial" w:cs="Arial"/>
                <w:b/>
                <w:bCs/>
              </w:rPr>
              <w:t>UNIDADE</w:t>
            </w:r>
          </w:p>
        </w:tc>
        <w:tc>
          <w:tcPr>
            <w:tcW w:w="1559" w:type="dxa"/>
            <w:tcBorders>
              <w:top w:val="single" w:sz="2" w:space="0" w:color="000000"/>
              <w:left w:val="single" w:sz="2" w:space="0" w:color="000000"/>
              <w:bottom w:val="single" w:sz="4" w:space="0" w:color="auto"/>
              <w:right w:val="nil"/>
            </w:tcBorders>
            <w:shd w:val="clear" w:color="auto" w:fill="E7E6E6" w:themeFill="background2"/>
            <w:tcMar>
              <w:top w:w="55" w:type="dxa"/>
              <w:left w:w="55" w:type="dxa"/>
              <w:bottom w:w="55" w:type="dxa"/>
              <w:right w:w="55" w:type="dxa"/>
            </w:tcMar>
            <w:vAlign w:val="center"/>
            <w:hideMark/>
          </w:tcPr>
          <w:p w14:paraId="415E99AF" w14:textId="77777777" w:rsidR="00A16FF6" w:rsidRPr="00A21D76" w:rsidRDefault="00A16FF6" w:rsidP="0024040C">
            <w:pPr>
              <w:pStyle w:val="Standard"/>
              <w:spacing w:before="57" w:after="57" w:line="360" w:lineRule="auto"/>
              <w:jc w:val="center"/>
              <w:rPr>
                <w:rFonts w:ascii="Arial" w:hAnsi="Arial" w:cs="Arial"/>
                <w:b/>
                <w:bCs/>
              </w:rPr>
            </w:pPr>
            <w:r w:rsidRPr="00A21D76">
              <w:rPr>
                <w:rFonts w:ascii="Arial" w:hAnsi="Arial" w:cs="Arial"/>
                <w:b/>
                <w:bCs/>
              </w:rPr>
              <w:t>PREÇO UNITÁRIO</w:t>
            </w:r>
            <w:r>
              <w:rPr>
                <w:rFonts w:ascii="Arial" w:hAnsi="Arial" w:cs="Arial"/>
                <w:b/>
                <w:bCs/>
              </w:rPr>
              <w:t xml:space="preserve"> (R$)</w:t>
            </w:r>
          </w:p>
        </w:tc>
        <w:tc>
          <w:tcPr>
            <w:tcW w:w="1493" w:type="dxa"/>
            <w:tcBorders>
              <w:top w:val="single" w:sz="2" w:space="0" w:color="000000"/>
              <w:left w:val="single" w:sz="2" w:space="0" w:color="000000"/>
              <w:bottom w:val="single" w:sz="4" w:space="0" w:color="auto"/>
              <w:right w:val="single" w:sz="2" w:space="0" w:color="000000"/>
            </w:tcBorders>
            <w:shd w:val="clear" w:color="auto" w:fill="E7E6E6" w:themeFill="background2"/>
            <w:tcMar>
              <w:top w:w="55" w:type="dxa"/>
              <w:left w:w="55" w:type="dxa"/>
              <w:bottom w:w="55" w:type="dxa"/>
              <w:right w:w="55" w:type="dxa"/>
            </w:tcMar>
            <w:vAlign w:val="center"/>
            <w:hideMark/>
          </w:tcPr>
          <w:p w14:paraId="653AA244" w14:textId="77777777" w:rsidR="00A16FF6" w:rsidRPr="00A21D76" w:rsidRDefault="00A16FF6" w:rsidP="0024040C">
            <w:pPr>
              <w:pStyle w:val="Standard"/>
              <w:spacing w:before="57" w:after="57" w:line="360" w:lineRule="auto"/>
              <w:jc w:val="center"/>
              <w:rPr>
                <w:rFonts w:ascii="Arial" w:hAnsi="Arial" w:cs="Arial"/>
                <w:b/>
                <w:bCs/>
              </w:rPr>
            </w:pPr>
            <w:r w:rsidRPr="00A21D76">
              <w:rPr>
                <w:rFonts w:ascii="Arial" w:hAnsi="Arial" w:cs="Arial"/>
                <w:b/>
                <w:bCs/>
              </w:rPr>
              <w:t>PREÇO GLOBAL</w:t>
            </w:r>
            <w:r>
              <w:rPr>
                <w:rFonts w:ascii="Arial" w:hAnsi="Arial" w:cs="Arial"/>
                <w:b/>
                <w:bCs/>
              </w:rPr>
              <w:t xml:space="preserve"> (R$)</w:t>
            </w:r>
          </w:p>
        </w:tc>
      </w:tr>
      <w:tr w:rsidR="00A16FF6" w14:paraId="460C79CF" w14:textId="77777777" w:rsidTr="0024040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5C11F12" w14:textId="77777777" w:rsidR="00A16FF6" w:rsidRDefault="00A16FF6" w:rsidP="0024040C">
            <w:pPr>
              <w:jc w:val="center"/>
              <w:rPr>
                <w:rFonts w:ascii="Arial" w:hAnsi="Arial" w:cs="Arial"/>
                <w:b/>
                <w:bCs/>
                <w:sz w:val="20"/>
                <w:szCs w:val="20"/>
              </w:rPr>
            </w:pPr>
            <w:r>
              <w:rPr>
                <w:rFonts w:ascii="Arial" w:hAnsi="Arial" w:cs="Arial"/>
                <w:b/>
                <w:bCs/>
                <w:sz w:val="20"/>
                <w:szCs w:val="20"/>
              </w:rPr>
              <w:t>LOTE 1</w:t>
            </w: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5CD1A50B" w14:textId="77777777" w:rsidR="00A16FF6" w:rsidRDefault="00A16FF6" w:rsidP="0024040C">
            <w:pPr>
              <w:pStyle w:val="Standard"/>
              <w:spacing w:before="57" w:after="57" w:line="360" w:lineRule="auto"/>
              <w:jc w:val="center"/>
              <w:rPr>
                <w:rFonts w:ascii="Arial" w:hAnsi="Arial" w:cs="Arial"/>
              </w:rPr>
            </w:pPr>
            <w:r>
              <w:rPr>
                <w:rFonts w:ascii="Arial" w:hAnsi="Arial" w:cs="Arial"/>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71B576FA" w14:textId="77777777" w:rsidR="00A16FF6" w:rsidRDefault="00A16FF6" w:rsidP="0024040C">
            <w:pPr>
              <w:pStyle w:val="Standard"/>
              <w:spacing w:before="57" w:after="57" w:line="360" w:lineRule="auto"/>
              <w:jc w:val="center"/>
              <w:rPr>
                <w:rFonts w:ascii="Arial" w:hAnsi="Arial" w:cs="Arial"/>
                <w:shd w:val="clear" w:color="auto" w:fill="FFFFFF" w:themeFill="background1"/>
              </w:rPr>
            </w:pPr>
            <w:r>
              <w:rPr>
                <w:rFonts w:ascii="Arial" w:hAnsi="Arial" w:cs="Arial"/>
                <w:shd w:val="clear" w:color="auto" w:fill="FFFFFF" w:themeFill="background1"/>
              </w:rPr>
              <w:t xml:space="preserve">Subscrição de licenças </w:t>
            </w:r>
            <w:r w:rsidRPr="00F048B0">
              <w:rPr>
                <w:rFonts w:ascii="Arial" w:hAnsi="Arial" w:cs="Arial"/>
                <w:i/>
                <w:iCs/>
                <w:shd w:val="clear" w:color="auto" w:fill="FFFFFF" w:themeFill="background1"/>
              </w:rPr>
              <w:t xml:space="preserve">Tableau </w:t>
            </w:r>
            <w:proofErr w:type="spellStart"/>
            <w:r w:rsidRPr="00F048B0">
              <w:rPr>
                <w:rFonts w:ascii="Arial" w:hAnsi="Arial" w:cs="Arial"/>
                <w:i/>
                <w:iCs/>
                <w:shd w:val="clear" w:color="auto" w:fill="FFFFFF" w:themeFill="background1"/>
              </w:rPr>
              <w:t>Viewer</w:t>
            </w:r>
            <w:proofErr w:type="spellEnd"/>
            <w:r>
              <w:rPr>
                <w:rFonts w:ascii="Arial" w:hAnsi="Arial" w:cs="Arial"/>
                <w:shd w:val="clear" w:color="auto" w:fill="FFFFFF" w:themeFill="background1"/>
              </w:rPr>
              <w:t xml:space="preserve"> mediante substituição de licença perpétua</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59A248CF" w14:textId="77777777" w:rsidR="00A16FF6" w:rsidRDefault="00A16FF6" w:rsidP="0024040C">
            <w:pPr>
              <w:pStyle w:val="Standard"/>
              <w:spacing w:before="57" w:after="57" w:line="360" w:lineRule="auto"/>
              <w:jc w:val="center"/>
              <w:rPr>
                <w:rFonts w:ascii="Arial" w:hAnsi="Arial" w:cs="Arial"/>
                <w:highlight w:val="red"/>
              </w:rPr>
            </w:pPr>
            <w:r>
              <w:rPr>
                <w:rFonts w:ascii="Arial" w:hAnsi="Arial" w:cs="Arial"/>
              </w:rPr>
              <w:t>88</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41D00DEF" w14:textId="77777777" w:rsidR="00A16FF6" w:rsidRDefault="00A16FF6" w:rsidP="0024040C">
            <w:pPr>
              <w:pStyle w:val="Standard"/>
              <w:spacing w:before="57" w:after="57" w:line="360" w:lineRule="auto"/>
              <w:jc w:val="center"/>
              <w:rPr>
                <w:rFonts w:ascii="Arial" w:hAnsi="Arial" w:cs="Arial"/>
              </w:rPr>
            </w:pPr>
            <w:r>
              <w:rPr>
                <w:rFonts w:ascii="Arial" w:hAnsi="Arial" w:cs="Arial"/>
              </w:rPr>
              <w:t>Subscrição</w:t>
            </w:r>
          </w:p>
          <w:p w14:paraId="65B35068" w14:textId="77777777" w:rsidR="00A16FF6" w:rsidRDefault="00A16FF6" w:rsidP="0024040C">
            <w:pPr>
              <w:pStyle w:val="Standard"/>
              <w:spacing w:before="57" w:after="57" w:line="360" w:lineRule="auto"/>
              <w:jc w:val="center"/>
              <w:rPr>
                <w:rFonts w:ascii="Arial" w:hAnsi="Arial" w:cs="Arial"/>
              </w:rPr>
            </w:pPr>
            <w:r>
              <w:rPr>
                <w:rFonts w:ascii="Arial" w:hAnsi="Arial" w:cs="Arial"/>
              </w:rPr>
              <w:t>(36 meses)</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B2083AB" w14:textId="77777777" w:rsidR="00A16FF6" w:rsidRDefault="00A16FF6" w:rsidP="0024040C">
            <w:pPr>
              <w:pStyle w:val="Standard"/>
              <w:spacing w:before="57" w:after="57" w:line="360" w:lineRule="auto"/>
              <w:jc w:val="center"/>
              <w:rPr>
                <w:rFonts w:ascii="Arial" w:hAnsi="Arial" w:cs="Arial"/>
              </w:rPr>
            </w:pP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680174" w14:textId="77777777" w:rsidR="00A16FF6" w:rsidRDefault="00A16FF6" w:rsidP="0024040C">
            <w:pPr>
              <w:pStyle w:val="Standard"/>
              <w:spacing w:before="57" w:after="57" w:line="360" w:lineRule="auto"/>
              <w:jc w:val="center"/>
              <w:rPr>
                <w:rFonts w:ascii="Arial" w:hAnsi="Arial" w:cs="Arial"/>
              </w:rPr>
            </w:pPr>
          </w:p>
        </w:tc>
      </w:tr>
      <w:tr w:rsidR="00A16FF6" w14:paraId="49F6C977" w14:textId="77777777" w:rsidTr="0024040C">
        <w:tc>
          <w:tcPr>
            <w:tcW w:w="851" w:type="dxa"/>
            <w:vMerge/>
            <w:tcBorders>
              <w:top w:val="single" w:sz="4" w:space="0" w:color="auto"/>
              <w:left w:val="single" w:sz="4" w:space="0" w:color="auto"/>
              <w:bottom w:val="single" w:sz="4" w:space="0" w:color="auto"/>
              <w:right w:val="single" w:sz="4" w:space="0" w:color="auto"/>
            </w:tcBorders>
            <w:vAlign w:val="center"/>
            <w:hideMark/>
          </w:tcPr>
          <w:p w14:paraId="67A9DCA7" w14:textId="77777777" w:rsidR="00A16FF6" w:rsidRDefault="00A16FF6" w:rsidP="0024040C">
            <w:pPr>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7A82E66E" w14:textId="77777777" w:rsidR="00A16FF6" w:rsidRDefault="00A16FF6" w:rsidP="0024040C">
            <w:pPr>
              <w:pStyle w:val="Standard"/>
              <w:spacing w:before="57" w:after="57" w:line="360" w:lineRule="auto"/>
              <w:jc w:val="center"/>
              <w:rPr>
                <w:rFonts w:ascii="Arial" w:hAnsi="Arial" w:cs="Arial"/>
              </w:rPr>
            </w:pPr>
            <w:r>
              <w:rPr>
                <w:rFonts w:ascii="Arial" w:hAnsi="Arial" w:cs="Arial"/>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hideMark/>
          </w:tcPr>
          <w:p w14:paraId="0ACEFC28" w14:textId="77777777" w:rsidR="00A16FF6" w:rsidRDefault="00A16FF6" w:rsidP="0024040C">
            <w:pPr>
              <w:pStyle w:val="Standard"/>
              <w:spacing w:before="57" w:after="57" w:line="360" w:lineRule="auto"/>
              <w:jc w:val="center"/>
              <w:rPr>
                <w:rFonts w:ascii="Arial" w:hAnsi="Arial" w:cs="Arial"/>
                <w:shd w:val="clear" w:color="auto" w:fill="FFFFFF" w:themeFill="background1"/>
              </w:rPr>
            </w:pPr>
            <w:r>
              <w:rPr>
                <w:rFonts w:ascii="Arial" w:hAnsi="Arial" w:cs="Arial"/>
                <w:shd w:val="clear" w:color="auto" w:fill="FFFFFF" w:themeFill="background1"/>
              </w:rPr>
              <w:t xml:space="preserve">Subscrição de licenças de </w:t>
            </w:r>
            <w:r w:rsidRPr="00F048B0">
              <w:rPr>
                <w:rFonts w:ascii="Arial" w:hAnsi="Arial" w:cs="Arial"/>
                <w:i/>
                <w:iCs/>
                <w:shd w:val="clear" w:color="auto" w:fill="FFFFFF" w:themeFill="background1"/>
              </w:rPr>
              <w:t xml:space="preserve">Tableau </w:t>
            </w:r>
            <w:proofErr w:type="spellStart"/>
            <w:r w:rsidRPr="00F048B0">
              <w:rPr>
                <w:rFonts w:ascii="Arial" w:hAnsi="Arial" w:cs="Arial"/>
                <w:i/>
                <w:iCs/>
                <w:shd w:val="clear" w:color="auto" w:fill="FFFFFF" w:themeFill="background1"/>
              </w:rPr>
              <w:t>Creator</w:t>
            </w:r>
            <w:proofErr w:type="spellEnd"/>
            <w:r>
              <w:rPr>
                <w:rFonts w:ascii="Arial" w:hAnsi="Arial" w:cs="Arial"/>
                <w:shd w:val="clear" w:color="auto" w:fill="FFFFFF" w:themeFill="background1"/>
              </w:rPr>
              <w:t xml:space="preserve"> mediante substituição de licença perpétua</w:t>
            </w:r>
          </w:p>
        </w:tc>
        <w:tc>
          <w:tcPr>
            <w:tcW w:w="8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41AC371D" w14:textId="77777777" w:rsidR="00A16FF6" w:rsidRDefault="00A16FF6" w:rsidP="0024040C">
            <w:pPr>
              <w:pStyle w:val="Standard"/>
              <w:spacing w:before="57" w:after="57" w:line="360" w:lineRule="auto"/>
              <w:jc w:val="center"/>
              <w:rPr>
                <w:rFonts w:ascii="Arial" w:hAnsi="Arial" w:cs="Arial"/>
                <w:highlight w:val="red"/>
              </w:rPr>
            </w:pPr>
            <w:r>
              <w:rPr>
                <w:rFonts w:ascii="Arial" w:hAnsi="Arial" w:cs="Arial"/>
              </w:rPr>
              <w:t>32</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06CB304D" w14:textId="77777777" w:rsidR="00A16FF6" w:rsidRDefault="00A16FF6" w:rsidP="0024040C">
            <w:pPr>
              <w:pStyle w:val="Standard"/>
              <w:spacing w:before="57" w:after="57" w:line="360" w:lineRule="auto"/>
              <w:jc w:val="center"/>
              <w:rPr>
                <w:rFonts w:ascii="Arial" w:hAnsi="Arial" w:cs="Arial"/>
              </w:rPr>
            </w:pPr>
            <w:r>
              <w:rPr>
                <w:rFonts w:ascii="Arial" w:hAnsi="Arial" w:cs="Arial"/>
              </w:rPr>
              <w:t>Subscrição</w:t>
            </w:r>
          </w:p>
          <w:p w14:paraId="3C08A881" w14:textId="77777777" w:rsidR="00A16FF6" w:rsidRDefault="00A16FF6" w:rsidP="0024040C">
            <w:pPr>
              <w:pStyle w:val="Standard"/>
              <w:spacing w:before="57" w:after="57" w:line="360" w:lineRule="auto"/>
              <w:jc w:val="center"/>
              <w:rPr>
                <w:rFonts w:ascii="Arial" w:hAnsi="Arial" w:cs="Arial"/>
              </w:rPr>
            </w:pPr>
            <w:r>
              <w:rPr>
                <w:rFonts w:ascii="Arial" w:hAnsi="Arial" w:cs="Arial"/>
              </w:rPr>
              <w:t>(36 meses)</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352EFC" w14:textId="77777777" w:rsidR="00A16FF6" w:rsidRDefault="00A16FF6" w:rsidP="0024040C">
            <w:pPr>
              <w:pStyle w:val="Standard"/>
              <w:spacing w:before="57" w:after="57" w:line="360" w:lineRule="auto"/>
              <w:jc w:val="center"/>
              <w:rPr>
                <w:rFonts w:ascii="Arial" w:hAnsi="Arial" w:cs="Arial"/>
              </w:rPr>
            </w:pPr>
          </w:p>
        </w:tc>
        <w:tc>
          <w:tcPr>
            <w:tcW w:w="14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585663" w14:textId="77777777" w:rsidR="00A16FF6" w:rsidRDefault="00A16FF6" w:rsidP="0024040C">
            <w:pPr>
              <w:pStyle w:val="Standard"/>
              <w:spacing w:before="57" w:after="57" w:line="360" w:lineRule="auto"/>
              <w:jc w:val="center"/>
              <w:rPr>
                <w:rFonts w:ascii="Arial" w:hAnsi="Arial" w:cs="Arial"/>
              </w:rPr>
            </w:pPr>
          </w:p>
        </w:tc>
      </w:tr>
      <w:tr w:rsidR="00A16FF6" w14:paraId="1AFEDE49" w14:textId="77777777" w:rsidTr="0024040C">
        <w:tc>
          <w:tcPr>
            <w:tcW w:w="9072"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9BA83C" w14:textId="77777777" w:rsidR="00A16FF6" w:rsidRDefault="00A16FF6" w:rsidP="0024040C">
            <w:pPr>
              <w:pStyle w:val="Standard"/>
              <w:spacing w:before="57" w:after="57" w:line="360" w:lineRule="auto"/>
              <w:jc w:val="center"/>
              <w:rPr>
                <w:rFonts w:ascii="Arial" w:hAnsi="Arial" w:cs="Arial"/>
                <w:color w:val="FFFFFF" w:themeColor="background1"/>
              </w:rPr>
            </w:pPr>
            <w:r w:rsidRPr="00A21D76">
              <w:rPr>
                <w:rFonts w:ascii="Arial" w:hAnsi="Arial" w:cs="Arial"/>
                <w:b/>
                <w:bCs/>
              </w:rPr>
              <w:t>TOTAL GLOBAL (R$)</w:t>
            </w:r>
          </w:p>
        </w:tc>
        <w:tc>
          <w:tcPr>
            <w:tcW w:w="14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91BCA5" w14:textId="77777777" w:rsidR="00A16FF6" w:rsidRPr="00364FEC" w:rsidRDefault="00A16FF6" w:rsidP="0024040C">
            <w:pPr>
              <w:pStyle w:val="Standard"/>
              <w:spacing w:before="57" w:after="57" w:line="360" w:lineRule="auto"/>
              <w:jc w:val="center"/>
              <w:rPr>
                <w:rFonts w:ascii="Arial" w:hAnsi="Arial" w:cs="Arial"/>
                <w:b/>
                <w:bCs/>
                <w:color w:val="FFFFFF" w:themeColor="background1"/>
              </w:rPr>
            </w:pPr>
            <w:r w:rsidRPr="00364FEC">
              <w:rPr>
                <w:rFonts w:ascii="Arial" w:hAnsi="Arial" w:cs="Arial"/>
                <w:b/>
                <w:bCs/>
              </w:rPr>
              <w:t>622.243,20</w:t>
            </w:r>
          </w:p>
        </w:tc>
      </w:tr>
    </w:tbl>
    <w:p w14:paraId="67837757" w14:textId="77777777" w:rsidR="00A979B7" w:rsidRPr="00A10558" w:rsidRDefault="00A979B7" w:rsidP="00F034C6">
      <w:pPr>
        <w:pStyle w:val="Standard"/>
        <w:autoSpaceDE w:val="0"/>
        <w:spacing w:line="360" w:lineRule="auto"/>
        <w:ind w:firstLine="1417"/>
        <w:jc w:val="both"/>
        <w:rPr>
          <w:rFonts w:eastAsia="Arial-BoldMT" w:cs="Times New Roman"/>
          <w:color w:val="C00000"/>
          <w:sz w:val="24"/>
          <w:szCs w:val="24"/>
        </w:rPr>
      </w:pPr>
    </w:p>
    <w:p w14:paraId="0AA4A740" w14:textId="4F6A64C8" w:rsidR="00F034C6" w:rsidRPr="00A10558" w:rsidRDefault="00213E71" w:rsidP="006606BE">
      <w:pPr>
        <w:pStyle w:val="Standard"/>
        <w:autoSpaceDE w:val="0"/>
        <w:spacing w:line="360" w:lineRule="auto"/>
        <w:jc w:val="both"/>
        <w:rPr>
          <w:rFonts w:cs="Times New Roman"/>
          <w:sz w:val="24"/>
          <w:szCs w:val="24"/>
        </w:rPr>
      </w:pPr>
      <w:r>
        <w:rPr>
          <w:rFonts w:eastAsia="Arial-BoldMT" w:cs="Times New Roman"/>
          <w:sz w:val="24"/>
          <w:szCs w:val="24"/>
        </w:rPr>
        <w:t xml:space="preserve">  </w:t>
      </w: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618CD8CC"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A16FF6">
        <w:rPr>
          <w:rFonts w:eastAsia="Times New Roman" w:cs="Times New Roman"/>
          <w:sz w:val="24"/>
          <w:szCs w:val="24"/>
        </w:rPr>
        <w:t>a Seção</w:t>
      </w:r>
      <w:r w:rsidRPr="009E0A55">
        <w:rPr>
          <w:rFonts w:eastAsia="Times New Roman" w:cs="Times New Roman"/>
          <w:sz w:val="24"/>
          <w:szCs w:val="24"/>
        </w:rPr>
        <w:t xml:space="preserve"> </w:t>
      </w:r>
      <w:r w:rsidR="00A16FF6">
        <w:rPr>
          <w:rFonts w:eastAsia="Times New Roman" w:cs="Times New Roman"/>
          <w:sz w:val="24"/>
          <w:szCs w:val="24"/>
        </w:rPr>
        <w:t>20</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 xml:space="preserve">Parágrafo terceiro. Caso a CONTRATADA seja optante pelo “SIMPLES” (Lei nº 9.317/1996), não serão feitas as retenções de que trata a citada instrução normativa, ficando a </w:t>
      </w:r>
      <w:r w:rsidRPr="00A10558">
        <w:rPr>
          <w:rFonts w:cs="Times New Roman"/>
          <w:sz w:val="24"/>
          <w:szCs w:val="24"/>
        </w:rPr>
        <w:lastRenderedPageBreak/>
        <w:t>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lastRenderedPageBreak/>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2E254BF8"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A16FF6">
        <w:rPr>
          <w:rFonts w:eastAsia="Arial" w:cs="Times New Roman"/>
          <w:b/>
          <w:color w:val="000000"/>
          <w:sz w:val="24"/>
          <w:szCs w:val="24"/>
        </w:rPr>
        <w:t>NONA</w:t>
      </w:r>
      <w:r w:rsidRPr="00A10558">
        <w:rPr>
          <w:rFonts w:eastAsia="Arial" w:cs="Times New Roman"/>
          <w:b/>
          <w:color w:val="000000"/>
          <w:sz w:val="24"/>
          <w:szCs w:val="24"/>
        </w:rPr>
        <w:t xml:space="preserve">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6C41D001"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A16FF6">
        <w:rPr>
          <w:rFonts w:eastAsia="Arial" w:cs="Times New Roman"/>
          <w:b/>
          <w:color w:val="000000"/>
          <w:sz w:val="24"/>
          <w:szCs w:val="24"/>
        </w:rPr>
        <w:t>DEZ</w:t>
      </w:r>
      <w:r w:rsidRPr="00A10558">
        <w:rPr>
          <w:rFonts w:eastAsia="Arial" w:cs="Times New Roman"/>
          <w:b/>
          <w:color w:val="000000"/>
          <w:sz w:val="24"/>
          <w:szCs w:val="24"/>
        </w:rPr>
        <w:t xml:space="preserve">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3D2C3A02"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A16FF6">
        <w:rPr>
          <w:rFonts w:eastAsia="Arial" w:cs="Times New Roman"/>
          <w:b/>
          <w:color w:val="000000"/>
          <w:sz w:val="24"/>
          <w:szCs w:val="24"/>
        </w:rPr>
        <w:t>ONZE</w:t>
      </w:r>
      <w:r w:rsidRPr="00A10558">
        <w:rPr>
          <w:rFonts w:eastAsia="Arial" w:cs="Times New Roman"/>
          <w:b/>
          <w:color w:val="000000"/>
          <w:sz w:val="24"/>
          <w:szCs w:val="24"/>
        </w:rPr>
        <w:t xml:space="preserv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16338F12"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A16FF6">
        <w:rPr>
          <w:rFonts w:eastAsia="Arial" w:cs="Times New Roman"/>
          <w:b/>
          <w:color w:val="000000"/>
          <w:sz w:val="24"/>
          <w:szCs w:val="24"/>
        </w:rPr>
        <w:t>DOZE</w:t>
      </w:r>
      <w:r w:rsidRPr="00A10558">
        <w:rPr>
          <w:rFonts w:eastAsia="Arial" w:cs="Times New Roman"/>
          <w:b/>
          <w:color w:val="000000"/>
          <w:sz w:val="24"/>
          <w:szCs w:val="24"/>
        </w:rPr>
        <w:t xml:space="preserv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 xml:space="preserve">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w:t>
      </w:r>
      <w:r w:rsidRPr="00A10558">
        <w:rPr>
          <w:rFonts w:cs="Times New Roman"/>
          <w:sz w:val="24"/>
          <w:szCs w:val="24"/>
        </w:rPr>
        <w:lastRenderedPageBreak/>
        <w:t>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5B1D674B"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D322D8">
        <w:rPr>
          <w:rFonts w:ascii="Times New Roman" w:hAnsi="Times New Roman" w:cs="Times New Roman"/>
          <w:sz w:val="24"/>
          <w:szCs w:val="24"/>
        </w:rPr>
        <w:t>2</w:t>
      </w:r>
      <w:r w:rsidR="00A16FF6">
        <w:rPr>
          <w:rFonts w:ascii="Times New Roman" w:hAnsi="Times New Roman" w:cs="Times New Roman"/>
          <w:sz w:val="24"/>
          <w:szCs w:val="24"/>
        </w:rPr>
        <w:t>1</w:t>
      </w:r>
      <w:r w:rsidRPr="00D322D8">
        <w:rPr>
          <w:rFonts w:ascii="Times New Roman" w:hAnsi="Times New Roman" w:cs="Times New Roman"/>
          <w:sz w:val="24"/>
          <w:szCs w:val="24"/>
        </w:rPr>
        <w:t xml:space="preserve"> – Das Sanções Administrativas, e </w:t>
      </w:r>
      <w:r w:rsidR="00D322D8">
        <w:rPr>
          <w:rFonts w:ascii="Times New Roman" w:hAnsi="Times New Roman" w:cs="Times New Roman"/>
          <w:sz w:val="24"/>
          <w:szCs w:val="24"/>
        </w:rPr>
        <w:t>2</w:t>
      </w:r>
      <w:r w:rsidR="00A16FF6">
        <w:rPr>
          <w:rFonts w:ascii="Times New Roman" w:hAnsi="Times New Roman" w:cs="Times New Roman"/>
          <w:sz w:val="24"/>
          <w:szCs w:val="24"/>
        </w:rPr>
        <w:t>2</w:t>
      </w:r>
      <w:r w:rsidRPr="00D322D8">
        <w:rPr>
          <w:rFonts w:ascii="Times New Roman" w:hAnsi="Times New Roman" w:cs="Times New Roman"/>
          <w:sz w:val="24"/>
          <w:szCs w:val="24"/>
        </w:rPr>
        <w:t xml:space="preserve"> – Tabela de Penalidades,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09F1D4E6"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 xml:space="preserve">CLÁUSULA </w:t>
      </w:r>
      <w:r w:rsidR="00A16FF6">
        <w:rPr>
          <w:rFonts w:cs="Times New Roman"/>
          <w:b/>
          <w:color w:val="000000"/>
          <w:sz w:val="24"/>
          <w:szCs w:val="24"/>
        </w:rPr>
        <w:t>TREZE</w:t>
      </w:r>
      <w:r w:rsidRPr="00A10558">
        <w:rPr>
          <w:rFonts w:cs="Times New Roman"/>
          <w:b/>
          <w:color w:val="000000"/>
          <w:sz w:val="24"/>
          <w:szCs w:val="24"/>
        </w:rPr>
        <w:t xml:space="preserv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5AEF8ED5"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CLÁUSULA QU</w:t>
      </w:r>
      <w:r w:rsidR="00A16FF6">
        <w:rPr>
          <w:rFonts w:cs="Times New Roman"/>
          <w:b/>
          <w:sz w:val="24"/>
          <w:szCs w:val="24"/>
        </w:rPr>
        <w:t>ATORZE</w:t>
      </w:r>
      <w:r w:rsidRPr="00A10558">
        <w:rPr>
          <w:rFonts w:cs="Times New Roman"/>
          <w:b/>
          <w:sz w:val="24"/>
          <w:szCs w:val="24"/>
        </w:rPr>
        <w:t xml:space="preserve"> – DA ALTERAÇÃO</w:t>
      </w:r>
    </w:p>
    <w:p w14:paraId="2C11BCE0" w14:textId="77777777" w:rsidR="00F034C6" w:rsidRPr="00A10558" w:rsidRDefault="00F034C6" w:rsidP="00F034C6">
      <w:pPr>
        <w:pStyle w:val="Standard"/>
        <w:spacing w:line="360" w:lineRule="auto"/>
        <w:ind w:firstLine="1417"/>
        <w:jc w:val="both"/>
        <w:rPr>
          <w:rFonts w:cs="Times New Roman"/>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0BB07956" w14:textId="28C03A6F"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t xml:space="preserve">CLÁUSULA </w:t>
      </w:r>
      <w:r w:rsidR="00A16FF6">
        <w:rPr>
          <w:rFonts w:cs="Times New Roman"/>
          <w:b/>
          <w:sz w:val="24"/>
          <w:szCs w:val="24"/>
        </w:rPr>
        <w:t>QUINZE</w:t>
      </w:r>
      <w:r w:rsidRPr="00A10558">
        <w:rPr>
          <w:rFonts w:cs="Times New Roman"/>
          <w:b/>
          <w:sz w:val="24"/>
          <w:szCs w:val="24"/>
        </w:rPr>
        <w:t xml:space="preserve"> – 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0563CEB6" w:rsidR="00F034C6" w:rsidRPr="00A10558" w:rsidRDefault="00F034C6" w:rsidP="00F034C6">
      <w:pPr>
        <w:pStyle w:val="Standard"/>
        <w:spacing w:line="360" w:lineRule="auto"/>
        <w:jc w:val="both"/>
        <w:rPr>
          <w:rFonts w:cs="Times New Roman"/>
          <w:b/>
          <w:sz w:val="24"/>
          <w:szCs w:val="24"/>
        </w:rPr>
      </w:pPr>
      <w:r w:rsidRPr="00A10558">
        <w:rPr>
          <w:rFonts w:cs="Times New Roman"/>
          <w:b/>
          <w:sz w:val="24"/>
          <w:szCs w:val="24"/>
        </w:rPr>
        <w:lastRenderedPageBreak/>
        <w:t>CLÁUSULA DEZES</w:t>
      </w:r>
      <w:r w:rsidR="00A16FF6">
        <w:rPr>
          <w:rFonts w:cs="Times New Roman"/>
          <w:b/>
          <w:sz w:val="24"/>
          <w:szCs w:val="24"/>
        </w:rPr>
        <w:t>SEIS</w:t>
      </w:r>
      <w:r w:rsidRPr="00A10558">
        <w:rPr>
          <w:rFonts w:cs="Times New Roman"/>
          <w:b/>
          <w:sz w:val="24"/>
          <w:szCs w:val="24"/>
        </w:rPr>
        <w:t xml:space="preserv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587692B8" w14:textId="77777777" w:rsidR="00F034C6" w:rsidRPr="00A10558" w:rsidRDefault="00F034C6" w:rsidP="00F034C6">
      <w:pPr>
        <w:pStyle w:val="Standard"/>
        <w:spacing w:line="360" w:lineRule="auto"/>
        <w:ind w:firstLine="1417"/>
        <w:jc w:val="both"/>
        <w:rPr>
          <w:rFonts w:cs="Times New Roman"/>
          <w:sz w:val="24"/>
          <w:szCs w:val="24"/>
        </w:rPr>
      </w:pPr>
    </w:p>
    <w:p w14:paraId="57E77BC7" w14:textId="77777777" w:rsidR="00F034C6" w:rsidRPr="00A10558" w:rsidRDefault="00F034C6" w:rsidP="00F034C6">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66846073" w14:textId="77777777" w:rsidR="00F034C6" w:rsidRPr="00A10558" w:rsidRDefault="00F034C6" w:rsidP="00F034C6">
      <w:pPr>
        <w:pStyle w:val="Standard"/>
        <w:spacing w:line="360" w:lineRule="auto"/>
        <w:ind w:firstLine="1417"/>
        <w:jc w:val="both"/>
        <w:rPr>
          <w:rFonts w:cs="Times New Roman"/>
          <w:color w:val="000000"/>
          <w:sz w:val="24"/>
          <w:szCs w:val="24"/>
        </w:rPr>
      </w:pPr>
    </w:p>
    <w:p w14:paraId="7F750FD6" w14:textId="77777777" w:rsidR="00F034C6" w:rsidRPr="00A10558" w:rsidRDefault="00F034C6" w:rsidP="00F034C6">
      <w:pPr>
        <w:pStyle w:val="Standard"/>
        <w:spacing w:line="360" w:lineRule="auto"/>
        <w:ind w:firstLine="1417"/>
        <w:jc w:val="center"/>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A21D76">
        <w:trPr>
          <w:cantSplit/>
          <w:tblCellSpacing w:w="0" w:type="dxa"/>
          <w:jc w:val="center"/>
        </w:trPr>
        <w:tc>
          <w:tcPr>
            <w:tcW w:w="0" w:type="auto"/>
            <w:vAlign w:val="center"/>
            <w:hideMark/>
          </w:tcPr>
          <w:p w14:paraId="48ED92CE" w14:textId="77777777" w:rsidR="00F034C6" w:rsidRPr="00A10558" w:rsidRDefault="00F034C6" w:rsidP="00A21D76">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A21D76">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A21D76">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A21D76">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6F441ABC" w14:textId="77777777" w:rsidR="00F034C6" w:rsidRPr="00A10558" w:rsidRDefault="00F034C6" w:rsidP="00F034C6">
      <w:pPr>
        <w:pStyle w:val="Standard"/>
        <w:spacing w:line="360" w:lineRule="auto"/>
        <w:ind w:firstLine="1417"/>
        <w:jc w:val="both"/>
        <w:rPr>
          <w:rFonts w:cs="Times New Roman"/>
          <w:sz w:val="24"/>
          <w:szCs w:val="24"/>
        </w:rPr>
      </w:pPr>
    </w:p>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1103" w14:textId="77777777" w:rsidR="0024040C" w:rsidRDefault="0024040C">
      <w:r>
        <w:separator/>
      </w:r>
    </w:p>
  </w:endnote>
  <w:endnote w:type="continuationSeparator" w:id="0">
    <w:p w14:paraId="5C341D1A" w14:textId="77777777" w:rsidR="0024040C" w:rsidRDefault="0024040C">
      <w:r>
        <w:continuationSeparator/>
      </w:r>
    </w:p>
  </w:endnote>
  <w:endnote w:type="continuationNotice" w:id="1">
    <w:p w14:paraId="70CC084E" w14:textId="77777777" w:rsidR="0024040C" w:rsidRDefault="00240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ZurichBT-Light">
    <w:charset w:val="00"/>
    <w:family w:val="auto"/>
    <w:pitch w:val="default"/>
  </w:font>
  <w:font w:name="Arial, Arial">
    <w:charset w:val="00"/>
    <w:family w:val="swiss"/>
    <w:pitch w:val="default"/>
  </w:font>
  <w:font w:name="TTE4D8A148t00">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24040C" w:rsidRDefault="0024040C">
    <w:pPr>
      <w:pStyle w:val="Rodap"/>
      <w:jc w:val="both"/>
    </w:pPr>
  </w:p>
  <w:p w14:paraId="0036EAE5" w14:textId="30F7D53F" w:rsidR="0024040C" w:rsidRDefault="0024040C">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19.00.6321.0000847-</w:t>
      </w:r>
    </w:hyperlink>
    <w:r>
      <w:rPr>
        <w:rStyle w:val="Hyperlink"/>
        <w:rFonts w:ascii="Trebuchet MS" w:hAnsi="Trebuchet MS" w:cs="Times New Roman"/>
        <w:color w:val="000000"/>
        <w:sz w:val="16"/>
        <w:szCs w:val="16"/>
        <w:u w:val="none"/>
      </w:rPr>
      <w:t>2021-91</w:t>
    </w:r>
    <w:r>
      <w:rPr>
        <w:rFonts w:ascii="Trebuchet MS" w:hAnsi="Trebuchet MS" w:cs="Tahoma"/>
        <w:sz w:val="16"/>
        <w:szCs w:val="16"/>
      </w:rPr>
      <w:tab/>
      <w:t>Pregão Eletrônico CNMP nº 07/2021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13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24040C" w:rsidRDefault="002404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24040C" w:rsidRDefault="0024040C">
    <w:pPr>
      <w:pStyle w:val="Rodap"/>
      <w:jc w:val="both"/>
    </w:pPr>
  </w:p>
  <w:p w14:paraId="4AE5D798" w14:textId="04B44540" w:rsidR="0024040C" w:rsidRDefault="0024040C">
    <w:pPr>
      <w:pStyle w:val="Rodap"/>
      <w:jc w:val="both"/>
    </w:pPr>
    <w:r>
      <w:rPr>
        <w:rFonts w:ascii="Trebuchet MS" w:hAnsi="Trebuchet MS" w:cs="Tahoma"/>
        <w:sz w:val="16"/>
        <w:szCs w:val="16"/>
      </w:rPr>
      <w:t xml:space="preserve">SEI </w:t>
    </w:r>
    <w:r w:rsidRPr="00E63D80">
      <w:rPr>
        <w:rStyle w:val="Hyperlink"/>
        <w:rFonts w:ascii="Trebuchet MS" w:hAnsi="Trebuchet MS" w:cs="Times New Roman"/>
        <w:color w:val="000000"/>
        <w:sz w:val="16"/>
        <w:szCs w:val="16"/>
        <w:u w:val="none"/>
      </w:rPr>
      <w:t>19.00.6</w:t>
    </w:r>
    <w:r>
      <w:rPr>
        <w:rStyle w:val="Hyperlink"/>
        <w:rFonts w:ascii="Trebuchet MS" w:hAnsi="Trebuchet MS" w:cs="Times New Roman"/>
        <w:color w:val="000000"/>
        <w:sz w:val="16"/>
        <w:szCs w:val="16"/>
        <w:u w:val="none"/>
      </w:rPr>
      <w:t>321</w:t>
    </w:r>
    <w:r w:rsidRPr="00E63D80">
      <w:rPr>
        <w:rStyle w:val="Hyperlink"/>
        <w:rFonts w:ascii="Trebuchet MS" w:hAnsi="Trebuchet MS" w:cs="Times New Roman"/>
        <w:color w:val="000000"/>
        <w:sz w:val="16"/>
        <w:szCs w:val="16"/>
        <w:u w:val="none"/>
      </w:rPr>
      <w:t>.000</w:t>
    </w:r>
    <w:r>
      <w:rPr>
        <w:rStyle w:val="Hyperlink"/>
        <w:rFonts w:ascii="Trebuchet MS" w:hAnsi="Trebuchet MS" w:cs="Times New Roman"/>
        <w:color w:val="000000"/>
        <w:sz w:val="16"/>
        <w:szCs w:val="16"/>
        <w:u w:val="none"/>
      </w:rPr>
      <w:t>0847</w:t>
    </w:r>
    <w:r w:rsidRPr="00E63D80">
      <w:rPr>
        <w:rStyle w:val="Hyperlink"/>
        <w:rFonts w:ascii="Trebuchet MS" w:hAnsi="Trebuchet MS" w:cs="Times New Roman"/>
        <w:color w:val="000000"/>
        <w:sz w:val="16"/>
        <w:szCs w:val="16"/>
        <w:u w:val="none"/>
      </w:rPr>
      <w:t>/202</w:t>
    </w:r>
    <w:r>
      <w:rPr>
        <w:rStyle w:val="Hyperlink"/>
        <w:rFonts w:ascii="Trebuchet MS" w:hAnsi="Trebuchet MS" w:cs="Times New Roman"/>
        <w:color w:val="000000"/>
        <w:sz w:val="16"/>
        <w:szCs w:val="16"/>
        <w:u w:val="none"/>
      </w:rPr>
      <w:t>1</w:t>
    </w:r>
    <w:r w:rsidRPr="00E63D80">
      <w:rPr>
        <w:rStyle w:val="Hyperlink"/>
        <w:rFonts w:ascii="Trebuchet MS" w:hAnsi="Trebuchet MS" w:cs="Times New Roman"/>
        <w:color w:val="000000"/>
        <w:sz w:val="16"/>
        <w:szCs w:val="16"/>
        <w:u w:val="none"/>
      </w:rPr>
      <w:t>-</w:t>
    </w:r>
    <w:r>
      <w:rPr>
        <w:rStyle w:val="Hyperlink"/>
        <w:rFonts w:ascii="Trebuchet MS" w:hAnsi="Trebuchet MS" w:cs="Times New Roman"/>
        <w:color w:val="000000"/>
        <w:sz w:val="16"/>
        <w:szCs w:val="16"/>
        <w:u w:val="none"/>
      </w:rPr>
      <w:t>91</w:t>
    </w:r>
    <w:r>
      <w:rPr>
        <w:rFonts w:ascii="Trebuchet MS" w:hAnsi="Trebuchet MS" w:cs="Tahoma"/>
        <w:sz w:val="16"/>
        <w:szCs w:val="16"/>
      </w:rPr>
      <w:tab/>
      <w:t>Pregão Eletrônico CNMP nº 07/2021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60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78</w:t>
    </w:r>
    <w:r>
      <w:rPr>
        <w:rFonts w:cs="Trebuchet MS"/>
        <w:sz w:val="16"/>
        <w:szCs w:val="16"/>
      </w:rPr>
      <w:fldChar w:fldCharType="end"/>
    </w:r>
    <w:r>
      <w:rPr>
        <w:rFonts w:ascii="Trebuchet MS" w:hAnsi="Trebuchet MS" w:cs="Tahoma"/>
        <w:sz w:val="16"/>
        <w:szCs w:val="16"/>
      </w:rPr>
      <w:t>.</w:t>
    </w:r>
  </w:p>
  <w:p w14:paraId="4357A966" w14:textId="77777777" w:rsidR="0024040C" w:rsidRDefault="0024040C">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24040C" w:rsidRDefault="0024040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24040C" w:rsidRDefault="0024040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24040C" w:rsidRDefault="0024040C">
    <w:pPr>
      <w:pStyle w:val="Rodap"/>
      <w:jc w:val="both"/>
    </w:pPr>
  </w:p>
  <w:p w14:paraId="448CBBD8" w14:textId="12FA7476" w:rsidR="0024040C" w:rsidRDefault="0024040C">
    <w:pPr>
      <w:pStyle w:val="Rodap"/>
      <w:jc w:val="both"/>
    </w:pPr>
    <w:r>
      <w:rPr>
        <w:rFonts w:ascii="Trebuchet MS" w:hAnsi="Trebuchet MS" w:cs="Tahoma"/>
        <w:sz w:val="16"/>
        <w:szCs w:val="16"/>
      </w:rPr>
      <w:t xml:space="preserve">SEI </w:t>
    </w:r>
    <w:r w:rsidRPr="00E63D80">
      <w:rPr>
        <w:rStyle w:val="Hyperlink"/>
        <w:rFonts w:ascii="Trebuchet MS" w:hAnsi="Trebuchet MS" w:cs="Times New Roman"/>
        <w:color w:val="000000"/>
        <w:sz w:val="16"/>
        <w:szCs w:val="16"/>
        <w:u w:val="none"/>
      </w:rPr>
      <w:t>19.00.6</w:t>
    </w:r>
    <w:r>
      <w:rPr>
        <w:rStyle w:val="Hyperlink"/>
        <w:rFonts w:ascii="Trebuchet MS" w:hAnsi="Trebuchet MS" w:cs="Times New Roman"/>
        <w:color w:val="000000"/>
        <w:sz w:val="16"/>
        <w:szCs w:val="16"/>
        <w:u w:val="none"/>
      </w:rPr>
      <w:t>321</w:t>
    </w:r>
    <w:r w:rsidRPr="00E63D80">
      <w:rPr>
        <w:rStyle w:val="Hyperlink"/>
        <w:rFonts w:ascii="Trebuchet MS" w:hAnsi="Trebuchet MS" w:cs="Times New Roman"/>
        <w:color w:val="000000"/>
        <w:sz w:val="16"/>
        <w:szCs w:val="16"/>
        <w:u w:val="none"/>
      </w:rPr>
      <w:t>.000</w:t>
    </w:r>
    <w:r>
      <w:rPr>
        <w:rStyle w:val="Hyperlink"/>
        <w:rFonts w:ascii="Trebuchet MS" w:hAnsi="Trebuchet MS" w:cs="Times New Roman"/>
        <w:color w:val="000000"/>
        <w:sz w:val="16"/>
        <w:szCs w:val="16"/>
        <w:u w:val="none"/>
      </w:rPr>
      <w:t>0847</w:t>
    </w:r>
    <w:r w:rsidRPr="00E63D80">
      <w:rPr>
        <w:rStyle w:val="Hyperlink"/>
        <w:rFonts w:ascii="Trebuchet MS" w:hAnsi="Trebuchet MS" w:cs="Times New Roman"/>
        <w:color w:val="000000"/>
        <w:sz w:val="16"/>
        <w:szCs w:val="16"/>
        <w:u w:val="none"/>
      </w:rPr>
      <w:t>/202</w:t>
    </w:r>
    <w:r>
      <w:rPr>
        <w:rStyle w:val="Hyperlink"/>
        <w:rFonts w:ascii="Trebuchet MS" w:hAnsi="Trebuchet MS" w:cs="Times New Roman"/>
        <w:color w:val="000000"/>
        <w:sz w:val="16"/>
        <w:szCs w:val="16"/>
        <w:u w:val="none"/>
      </w:rPr>
      <w:t>1</w:t>
    </w:r>
    <w:r w:rsidRPr="00E63D80">
      <w:rPr>
        <w:rStyle w:val="Hyperlink"/>
        <w:rFonts w:ascii="Trebuchet MS" w:hAnsi="Trebuchet MS" w:cs="Times New Roman"/>
        <w:color w:val="000000"/>
        <w:sz w:val="16"/>
        <w:szCs w:val="16"/>
        <w:u w:val="none"/>
      </w:rPr>
      <w:t>-</w:t>
    </w:r>
    <w:r>
      <w:rPr>
        <w:rStyle w:val="Hyperlink"/>
        <w:rFonts w:ascii="Trebuchet MS" w:hAnsi="Trebuchet MS" w:cs="Times New Roman"/>
        <w:color w:val="000000"/>
        <w:sz w:val="16"/>
        <w:szCs w:val="16"/>
        <w:u w:val="none"/>
      </w:rPr>
      <w:t>91</w:t>
    </w:r>
    <w:r>
      <w:rPr>
        <w:rFonts w:ascii="Trebuchet MS" w:hAnsi="Trebuchet MS" w:cs="Tahoma"/>
        <w:sz w:val="16"/>
        <w:szCs w:val="16"/>
      </w:rPr>
      <w:tab/>
      <w:t>Pregão Eletrônico CNMP nº 07/2021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77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78</w:t>
    </w:r>
    <w:r>
      <w:rPr>
        <w:rFonts w:cs="Trebuchet MS"/>
        <w:sz w:val="16"/>
        <w:szCs w:val="16"/>
      </w:rPr>
      <w:fldChar w:fldCharType="end"/>
    </w:r>
    <w:r>
      <w:rPr>
        <w:rFonts w:ascii="Trebuchet MS" w:hAnsi="Trebuchet MS" w:cs="Tahoma"/>
        <w:sz w:val="16"/>
        <w:szCs w:val="16"/>
      </w:rPr>
      <w:t>.</w:t>
    </w:r>
  </w:p>
  <w:p w14:paraId="7B37605A" w14:textId="77777777" w:rsidR="0024040C" w:rsidRDefault="0024040C">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24040C" w:rsidRDefault="002404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B64A" w14:textId="77777777" w:rsidR="0024040C" w:rsidRDefault="0024040C">
      <w:r>
        <w:separator/>
      </w:r>
    </w:p>
  </w:footnote>
  <w:footnote w:type="continuationSeparator" w:id="0">
    <w:p w14:paraId="164B003C" w14:textId="77777777" w:rsidR="0024040C" w:rsidRDefault="0024040C">
      <w:r>
        <w:continuationSeparator/>
      </w:r>
    </w:p>
  </w:footnote>
  <w:footnote w:type="continuationNotice" w:id="1">
    <w:p w14:paraId="0CBC7E1A" w14:textId="77777777" w:rsidR="0024040C" w:rsidRDefault="00240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24040C" w:rsidRDefault="0024040C">
    <w:pPr>
      <w:pStyle w:val="Standard"/>
    </w:pPr>
  </w:p>
  <w:p w14:paraId="53387908" w14:textId="77777777" w:rsidR="0024040C" w:rsidRDefault="0024040C">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24040C" w:rsidRDefault="0024040C">
    <w:pPr>
      <w:pStyle w:val="Standard"/>
    </w:pPr>
  </w:p>
  <w:p w14:paraId="37EFA3E3" w14:textId="77777777" w:rsidR="0024040C" w:rsidRDefault="0024040C">
    <w:pPr>
      <w:pStyle w:val="Standard"/>
    </w:pPr>
  </w:p>
  <w:p w14:paraId="41C6AC2A" w14:textId="77777777" w:rsidR="0024040C" w:rsidRDefault="0024040C">
    <w:pPr>
      <w:pStyle w:val="Standard"/>
    </w:pPr>
  </w:p>
  <w:p w14:paraId="2DC44586" w14:textId="77777777" w:rsidR="0024040C" w:rsidRDefault="0024040C">
    <w:pPr>
      <w:pStyle w:val="Standard"/>
    </w:pPr>
  </w:p>
  <w:p w14:paraId="4FFCBC07" w14:textId="77777777" w:rsidR="0024040C" w:rsidRDefault="0024040C">
    <w:pPr>
      <w:pStyle w:val="Standard"/>
    </w:pPr>
  </w:p>
  <w:p w14:paraId="31F211AE" w14:textId="77777777" w:rsidR="0024040C" w:rsidRDefault="0024040C">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24040C" w:rsidRDefault="0024040C">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24040C" w:rsidRDefault="002404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24040C" w:rsidRDefault="0024040C">
    <w:pPr>
      <w:pStyle w:val="Standard"/>
    </w:pPr>
  </w:p>
  <w:p w14:paraId="3889A505" w14:textId="77777777" w:rsidR="0024040C" w:rsidRDefault="0024040C">
    <w:pPr>
      <w:pStyle w:val="Standard"/>
    </w:pPr>
  </w:p>
  <w:p w14:paraId="29079D35" w14:textId="77777777" w:rsidR="0024040C" w:rsidRDefault="0024040C">
    <w:pPr>
      <w:pStyle w:val="Standard"/>
    </w:pPr>
  </w:p>
  <w:p w14:paraId="503E0D82" w14:textId="77777777" w:rsidR="0024040C" w:rsidRDefault="0024040C">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24040C" w:rsidRDefault="0024040C">
    <w:pPr>
      <w:pStyle w:val="Standard"/>
    </w:pPr>
  </w:p>
  <w:p w14:paraId="53BD644D" w14:textId="77777777" w:rsidR="0024040C" w:rsidRDefault="0024040C">
    <w:pPr>
      <w:pStyle w:val="Standard"/>
    </w:pPr>
  </w:p>
  <w:p w14:paraId="1A3FAC43" w14:textId="77777777" w:rsidR="0024040C" w:rsidRDefault="0024040C">
    <w:pPr>
      <w:pStyle w:val="Standard"/>
    </w:pPr>
  </w:p>
  <w:p w14:paraId="3220F671" w14:textId="77777777" w:rsidR="0024040C" w:rsidRDefault="0024040C">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24040C" w:rsidRDefault="0024040C">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24040C" w:rsidRDefault="0024040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24040C" w:rsidRDefault="0024040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24040C" w:rsidRDefault="0024040C">
    <w:pPr>
      <w:pStyle w:val="Standard"/>
    </w:pPr>
  </w:p>
  <w:p w14:paraId="1A499DFC" w14:textId="77777777" w:rsidR="0024040C" w:rsidRDefault="0024040C">
    <w:pPr>
      <w:pStyle w:val="Standard"/>
    </w:pPr>
  </w:p>
  <w:p w14:paraId="5E7E3C41" w14:textId="77777777" w:rsidR="0024040C" w:rsidRDefault="0024040C">
    <w:pPr>
      <w:pStyle w:val="Standard"/>
    </w:pPr>
  </w:p>
  <w:p w14:paraId="03F828E4" w14:textId="77777777" w:rsidR="0024040C" w:rsidRDefault="0024040C">
    <w:pPr>
      <w:pStyle w:val="Standard"/>
    </w:pPr>
  </w:p>
  <w:p w14:paraId="2AC57CB0" w14:textId="77777777" w:rsidR="0024040C" w:rsidRDefault="0024040C">
    <w:pPr>
      <w:pStyle w:val="Standard"/>
    </w:pPr>
  </w:p>
  <w:p w14:paraId="6665AF0E" w14:textId="77777777" w:rsidR="0024040C" w:rsidRDefault="0024040C">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24040C" w:rsidRDefault="0024040C">
    <w:pPr>
      <w:pStyle w:val="Standard"/>
    </w:pPr>
  </w:p>
  <w:p w14:paraId="77E36463" w14:textId="77777777" w:rsidR="0024040C" w:rsidRDefault="0024040C">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24040C" w:rsidRDefault="0024040C">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24040C" w:rsidRDefault="00240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0"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4"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5"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6"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9"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2"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45" w15:restartNumberingAfterBreak="0">
    <w:nsid w:val="78EA0979"/>
    <w:multiLevelType w:val="hybridMultilevel"/>
    <w:tmpl w:val="03727EBE"/>
    <w:lvl w:ilvl="0" w:tplc="C7E2BD90">
      <w:start w:val="1"/>
      <w:numFmt w:val="lowerLetter"/>
      <w:lvlText w:val="%1)"/>
      <w:lvlJc w:val="left"/>
      <w:pPr>
        <w:ind w:left="720" w:hanging="360"/>
      </w:pPr>
      <w:rPr>
        <w:rFonts w:ascii="Arial" w:eastAsia="SimSu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46"/>
  </w:num>
  <w:num w:numId="7">
    <w:abstractNumId w:val="23"/>
  </w:num>
  <w:num w:numId="8">
    <w:abstractNumId w:val="34"/>
  </w:num>
  <w:num w:numId="9">
    <w:abstractNumId w:val="39"/>
  </w:num>
  <w:num w:numId="10">
    <w:abstractNumId w:val="35"/>
  </w:num>
  <w:num w:numId="11">
    <w:abstractNumId w:val="37"/>
  </w:num>
  <w:num w:numId="12">
    <w:abstractNumId w:val="42"/>
  </w:num>
  <w:num w:numId="13">
    <w:abstractNumId w:val="36"/>
  </w:num>
  <w:num w:numId="14">
    <w:abstractNumId w:val="30"/>
  </w:num>
  <w:num w:numId="15">
    <w:abstractNumId w:val="27"/>
  </w:num>
  <w:num w:numId="16">
    <w:abstractNumId w:val="26"/>
  </w:num>
  <w:num w:numId="17">
    <w:abstractNumId w:val="32"/>
  </w:num>
  <w:num w:numId="18">
    <w:abstractNumId w:val="28"/>
  </w:num>
  <w:num w:numId="19">
    <w:abstractNumId w:val="41"/>
  </w:num>
  <w:num w:numId="20">
    <w:abstractNumId w:val="31"/>
  </w:num>
  <w:num w:numId="21">
    <w:abstractNumId w:val="38"/>
  </w:num>
  <w:num w:numId="22">
    <w:abstractNumId w:val="22"/>
  </w:num>
  <w:num w:numId="23">
    <w:abstractNumId w:val="40"/>
  </w:num>
  <w:num w:numId="24">
    <w:abstractNumId w:val="29"/>
  </w:num>
  <w:num w:numId="25">
    <w:abstractNumId w:val="44"/>
  </w:num>
  <w:num w:numId="26">
    <w:abstractNumId w:val="20"/>
  </w:num>
  <w:num w:numId="27">
    <w:abstractNumId w:val="25"/>
  </w:num>
  <w:num w:numId="28">
    <w:abstractNumId w:val="43"/>
  </w:num>
  <w:num w:numId="29">
    <w:abstractNumId w:val="24"/>
  </w:num>
  <w:num w:numId="30">
    <w:abstractNumId w:val="33"/>
  </w:num>
  <w:num w:numId="31">
    <w:abstractNumId w:val="21"/>
  </w:num>
  <w:num w:numId="32">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020F3"/>
    <w:rsid w:val="00003E3B"/>
    <w:rsid w:val="000104AC"/>
    <w:rsid w:val="00011143"/>
    <w:rsid w:val="000172AF"/>
    <w:rsid w:val="00021B58"/>
    <w:rsid w:val="0002352F"/>
    <w:rsid w:val="00037C56"/>
    <w:rsid w:val="0004370A"/>
    <w:rsid w:val="00046228"/>
    <w:rsid w:val="00055635"/>
    <w:rsid w:val="000558B7"/>
    <w:rsid w:val="000633E1"/>
    <w:rsid w:val="00066950"/>
    <w:rsid w:val="0007272D"/>
    <w:rsid w:val="000A3B8D"/>
    <w:rsid w:val="000A753A"/>
    <w:rsid w:val="000B6363"/>
    <w:rsid w:val="000C1062"/>
    <w:rsid w:val="000F316F"/>
    <w:rsid w:val="000F4404"/>
    <w:rsid w:val="00103D75"/>
    <w:rsid w:val="00104C43"/>
    <w:rsid w:val="00111341"/>
    <w:rsid w:val="00113D57"/>
    <w:rsid w:val="00121C0C"/>
    <w:rsid w:val="001456B2"/>
    <w:rsid w:val="00161954"/>
    <w:rsid w:val="00173D7B"/>
    <w:rsid w:val="00174B48"/>
    <w:rsid w:val="00175974"/>
    <w:rsid w:val="00181313"/>
    <w:rsid w:val="001A042E"/>
    <w:rsid w:val="001A2B7E"/>
    <w:rsid w:val="001A3BAC"/>
    <w:rsid w:val="001C4D87"/>
    <w:rsid w:val="001C789F"/>
    <w:rsid w:val="001D10A4"/>
    <w:rsid w:val="001D71E5"/>
    <w:rsid w:val="001DACBE"/>
    <w:rsid w:val="001E2568"/>
    <w:rsid w:val="001E5252"/>
    <w:rsid w:val="001E783F"/>
    <w:rsid w:val="001F2D95"/>
    <w:rsid w:val="00200684"/>
    <w:rsid w:val="00206492"/>
    <w:rsid w:val="00213E71"/>
    <w:rsid w:val="00216C38"/>
    <w:rsid w:val="00226C61"/>
    <w:rsid w:val="0023076A"/>
    <w:rsid w:val="00234021"/>
    <w:rsid w:val="0024040C"/>
    <w:rsid w:val="00244584"/>
    <w:rsid w:val="00244B11"/>
    <w:rsid w:val="00244FA6"/>
    <w:rsid w:val="0024601A"/>
    <w:rsid w:val="002504B5"/>
    <w:rsid w:val="002568C8"/>
    <w:rsid w:val="00257617"/>
    <w:rsid w:val="00260182"/>
    <w:rsid w:val="002602CF"/>
    <w:rsid w:val="00260D24"/>
    <w:rsid w:val="002830D1"/>
    <w:rsid w:val="0029286F"/>
    <w:rsid w:val="002A36EB"/>
    <w:rsid w:val="002B2549"/>
    <w:rsid w:val="002C0991"/>
    <w:rsid w:val="002D2BA8"/>
    <w:rsid w:val="002D4E81"/>
    <w:rsid w:val="003006EF"/>
    <w:rsid w:val="00304A83"/>
    <w:rsid w:val="0030773E"/>
    <w:rsid w:val="003132EF"/>
    <w:rsid w:val="0031340D"/>
    <w:rsid w:val="003261F0"/>
    <w:rsid w:val="00327E3D"/>
    <w:rsid w:val="0033752F"/>
    <w:rsid w:val="00337D0B"/>
    <w:rsid w:val="003417E8"/>
    <w:rsid w:val="00353517"/>
    <w:rsid w:val="00364FEC"/>
    <w:rsid w:val="00394AB2"/>
    <w:rsid w:val="003C03DD"/>
    <w:rsid w:val="003C0A83"/>
    <w:rsid w:val="003F1325"/>
    <w:rsid w:val="00422CE5"/>
    <w:rsid w:val="004243C8"/>
    <w:rsid w:val="00433618"/>
    <w:rsid w:val="00435FA1"/>
    <w:rsid w:val="00442392"/>
    <w:rsid w:val="0047171A"/>
    <w:rsid w:val="00481E1F"/>
    <w:rsid w:val="0048594A"/>
    <w:rsid w:val="004A46E8"/>
    <w:rsid w:val="004C3340"/>
    <w:rsid w:val="004D3367"/>
    <w:rsid w:val="004D470F"/>
    <w:rsid w:val="004E380C"/>
    <w:rsid w:val="00504D2A"/>
    <w:rsid w:val="00527F09"/>
    <w:rsid w:val="00530BC2"/>
    <w:rsid w:val="005509C1"/>
    <w:rsid w:val="005564FC"/>
    <w:rsid w:val="00564C1D"/>
    <w:rsid w:val="00571E07"/>
    <w:rsid w:val="00583923"/>
    <w:rsid w:val="005951B3"/>
    <w:rsid w:val="0059755A"/>
    <w:rsid w:val="005A0CC1"/>
    <w:rsid w:val="005A4B4C"/>
    <w:rsid w:val="005A78FE"/>
    <w:rsid w:val="005B4683"/>
    <w:rsid w:val="005C3750"/>
    <w:rsid w:val="005C49EE"/>
    <w:rsid w:val="005D367B"/>
    <w:rsid w:val="005D36EB"/>
    <w:rsid w:val="005E1E41"/>
    <w:rsid w:val="00603249"/>
    <w:rsid w:val="006163E8"/>
    <w:rsid w:val="00617186"/>
    <w:rsid w:val="006606BE"/>
    <w:rsid w:val="006621FA"/>
    <w:rsid w:val="00677853"/>
    <w:rsid w:val="00681010"/>
    <w:rsid w:val="006944C6"/>
    <w:rsid w:val="006A0F43"/>
    <w:rsid w:val="006A1A7D"/>
    <w:rsid w:val="006D42BB"/>
    <w:rsid w:val="006D7DBB"/>
    <w:rsid w:val="006E2B40"/>
    <w:rsid w:val="006E65AE"/>
    <w:rsid w:val="006F7401"/>
    <w:rsid w:val="00714F77"/>
    <w:rsid w:val="00720BB8"/>
    <w:rsid w:val="00724B24"/>
    <w:rsid w:val="007311B9"/>
    <w:rsid w:val="00734679"/>
    <w:rsid w:val="007435B3"/>
    <w:rsid w:val="00754977"/>
    <w:rsid w:val="00771888"/>
    <w:rsid w:val="0078482B"/>
    <w:rsid w:val="00786137"/>
    <w:rsid w:val="007975AE"/>
    <w:rsid w:val="007A4F78"/>
    <w:rsid w:val="007B0F6D"/>
    <w:rsid w:val="007B7DAC"/>
    <w:rsid w:val="007C02DB"/>
    <w:rsid w:val="007D3B55"/>
    <w:rsid w:val="007F6C81"/>
    <w:rsid w:val="00801869"/>
    <w:rsid w:val="00810031"/>
    <w:rsid w:val="00820A77"/>
    <w:rsid w:val="00820CD6"/>
    <w:rsid w:val="00837969"/>
    <w:rsid w:val="00837A39"/>
    <w:rsid w:val="0084277E"/>
    <w:rsid w:val="00853A2B"/>
    <w:rsid w:val="00867AD7"/>
    <w:rsid w:val="008711BA"/>
    <w:rsid w:val="008726B3"/>
    <w:rsid w:val="00872A51"/>
    <w:rsid w:val="0087667E"/>
    <w:rsid w:val="0087D439"/>
    <w:rsid w:val="0088183C"/>
    <w:rsid w:val="00883325"/>
    <w:rsid w:val="008A3A4E"/>
    <w:rsid w:val="008A6AA8"/>
    <w:rsid w:val="008A7A3F"/>
    <w:rsid w:val="008B795F"/>
    <w:rsid w:val="008C7B0C"/>
    <w:rsid w:val="008D5687"/>
    <w:rsid w:val="008E4DEA"/>
    <w:rsid w:val="008F50E9"/>
    <w:rsid w:val="00900288"/>
    <w:rsid w:val="00905C92"/>
    <w:rsid w:val="00912123"/>
    <w:rsid w:val="009303F7"/>
    <w:rsid w:val="00935F39"/>
    <w:rsid w:val="00941572"/>
    <w:rsid w:val="00950F35"/>
    <w:rsid w:val="00957B3E"/>
    <w:rsid w:val="009611A0"/>
    <w:rsid w:val="00973CC1"/>
    <w:rsid w:val="00973FE5"/>
    <w:rsid w:val="00980774"/>
    <w:rsid w:val="0099730B"/>
    <w:rsid w:val="009B7BDA"/>
    <w:rsid w:val="009C2E45"/>
    <w:rsid w:val="009C49C8"/>
    <w:rsid w:val="009D106B"/>
    <w:rsid w:val="009D1FB1"/>
    <w:rsid w:val="009E0A55"/>
    <w:rsid w:val="009E6182"/>
    <w:rsid w:val="00A055BE"/>
    <w:rsid w:val="00A10558"/>
    <w:rsid w:val="00A119E4"/>
    <w:rsid w:val="00A16FF6"/>
    <w:rsid w:val="00A21D76"/>
    <w:rsid w:val="00A352C5"/>
    <w:rsid w:val="00A369D8"/>
    <w:rsid w:val="00A4176A"/>
    <w:rsid w:val="00A523DC"/>
    <w:rsid w:val="00A574BF"/>
    <w:rsid w:val="00A71BBE"/>
    <w:rsid w:val="00A721C7"/>
    <w:rsid w:val="00A90601"/>
    <w:rsid w:val="00A910AF"/>
    <w:rsid w:val="00A9160C"/>
    <w:rsid w:val="00A9372F"/>
    <w:rsid w:val="00A940C4"/>
    <w:rsid w:val="00A97552"/>
    <w:rsid w:val="00A979B7"/>
    <w:rsid w:val="00AA228C"/>
    <w:rsid w:val="00AB26BE"/>
    <w:rsid w:val="00AD59CD"/>
    <w:rsid w:val="00AD7451"/>
    <w:rsid w:val="00AF58E7"/>
    <w:rsid w:val="00AF5F3D"/>
    <w:rsid w:val="00AF69C0"/>
    <w:rsid w:val="00B13802"/>
    <w:rsid w:val="00B13E6B"/>
    <w:rsid w:val="00B24A61"/>
    <w:rsid w:val="00B26C1B"/>
    <w:rsid w:val="00B405AD"/>
    <w:rsid w:val="00B47EDE"/>
    <w:rsid w:val="00B71315"/>
    <w:rsid w:val="00B74B6F"/>
    <w:rsid w:val="00B81BAC"/>
    <w:rsid w:val="00B8254B"/>
    <w:rsid w:val="00B9777C"/>
    <w:rsid w:val="00BA1070"/>
    <w:rsid w:val="00BA658F"/>
    <w:rsid w:val="00BC33B1"/>
    <w:rsid w:val="00BD0E5E"/>
    <w:rsid w:val="00BD256C"/>
    <w:rsid w:val="00BD47AD"/>
    <w:rsid w:val="00BD4FDB"/>
    <w:rsid w:val="00BD5F41"/>
    <w:rsid w:val="00BD6559"/>
    <w:rsid w:val="00BF7F35"/>
    <w:rsid w:val="00C00FCD"/>
    <w:rsid w:val="00C23AB1"/>
    <w:rsid w:val="00C25898"/>
    <w:rsid w:val="00C32299"/>
    <w:rsid w:val="00C35B77"/>
    <w:rsid w:val="00C46701"/>
    <w:rsid w:val="00C51F84"/>
    <w:rsid w:val="00C531B3"/>
    <w:rsid w:val="00C6742E"/>
    <w:rsid w:val="00C7700C"/>
    <w:rsid w:val="00C9173B"/>
    <w:rsid w:val="00CA7C8F"/>
    <w:rsid w:val="00CC174A"/>
    <w:rsid w:val="00CC69CE"/>
    <w:rsid w:val="00CD265E"/>
    <w:rsid w:val="00CD49DD"/>
    <w:rsid w:val="00CD70A4"/>
    <w:rsid w:val="00CD78B8"/>
    <w:rsid w:val="00CE0802"/>
    <w:rsid w:val="00CF6BAE"/>
    <w:rsid w:val="00D05F7C"/>
    <w:rsid w:val="00D1450E"/>
    <w:rsid w:val="00D2334F"/>
    <w:rsid w:val="00D322D8"/>
    <w:rsid w:val="00D34782"/>
    <w:rsid w:val="00D45C3C"/>
    <w:rsid w:val="00D50360"/>
    <w:rsid w:val="00D530FC"/>
    <w:rsid w:val="00D6059C"/>
    <w:rsid w:val="00D709B6"/>
    <w:rsid w:val="00D771BC"/>
    <w:rsid w:val="00D81F88"/>
    <w:rsid w:val="00D84D51"/>
    <w:rsid w:val="00DC4270"/>
    <w:rsid w:val="00DC5DDE"/>
    <w:rsid w:val="00DE0C3D"/>
    <w:rsid w:val="00DF6551"/>
    <w:rsid w:val="00E16A37"/>
    <w:rsid w:val="00E224F2"/>
    <w:rsid w:val="00E41D2C"/>
    <w:rsid w:val="00E45B38"/>
    <w:rsid w:val="00E52105"/>
    <w:rsid w:val="00E524F8"/>
    <w:rsid w:val="00E5300F"/>
    <w:rsid w:val="00E55A9F"/>
    <w:rsid w:val="00E55DE0"/>
    <w:rsid w:val="00E63D80"/>
    <w:rsid w:val="00E655D1"/>
    <w:rsid w:val="00E72DEC"/>
    <w:rsid w:val="00E800FD"/>
    <w:rsid w:val="00E86FE4"/>
    <w:rsid w:val="00E94B8B"/>
    <w:rsid w:val="00EA151B"/>
    <w:rsid w:val="00EA192C"/>
    <w:rsid w:val="00EC23D1"/>
    <w:rsid w:val="00EE0227"/>
    <w:rsid w:val="00F034C6"/>
    <w:rsid w:val="00F10729"/>
    <w:rsid w:val="00F10B0B"/>
    <w:rsid w:val="00F34CAC"/>
    <w:rsid w:val="00F463EB"/>
    <w:rsid w:val="00F5689A"/>
    <w:rsid w:val="00F63FE4"/>
    <w:rsid w:val="00F644F2"/>
    <w:rsid w:val="00F665C2"/>
    <w:rsid w:val="00F70700"/>
    <w:rsid w:val="00F714FE"/>
    <w:rsid w:val="00F7522F"/>
    <w:rsid w:val="00F768AF"/>
    <w:rsid w:val="00F81C2B"/>
    <w:rsid w:val="00F97EFF"/>
    <w:rsid w:val="00FB1C9A"/>
    <w:rsid w:val="00FB3667"/>
    <w:rsid w:val="00FB7358"/>
    <w:rsid w:val="00FC120A"/>
    <w:rsid w:val="00FD6608"/>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chartTrackingRefBased/>
  <w15:docId w15:val="{EFC0A537-E5A4-42E4-BB97-144B3385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2.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17219</Words>
  <Characters>92986</Characters>
  <Application>Microsoft Office Word</Application>
  <DocSecurity>4</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2021-04-20T19:00:00Z</cp:lastPrinted>
  <dcterms:created xsi:type="dcterms:W3CDTF">2021-04-20T19:21:00Z</dcterms:created>
  <dcterms:modified xsi:type="dcterms:W3CDTF">2021-04-20T19:21:00Z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