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4715230"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7A3B68">
              <w:rPr>
                <w:rFonts w:cs="Times New Roman"/>
                <w:b/>
                <w:sz w:val="24"/>
                <w:szCs w:val="24"/>
              </w:rPr>
              <w:t>11</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6EFDD23" w:rsidR="006163E8" w:rsidRPr="00041761" w:rsidRDefault="0048594A" w:rsidP="007A3B68">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E723ED">
              <w:rPr>
                <w:rFonts w:cs="Times New Roman"/>
                <w:b/>
                <w:bCs/>
                <w:sz w:val="24"/>
                <w:szCs w:val="24"/>
              </w:rPr>
              <w:t xml:space="preserve"> </w:t>
            </w:r>
            <w:r w:rsidR="00185243">
              <w:rPr>
                <w:rFonts w:cs="Times New Roman"/>
                <w:b/>
                <w:bCs/>
                <w:sz w:val="24"/>
                <w:szCs w:val="24"/>
              </w:rPr>
              <w:t>18</w:t>
            </w:r>
            <w:r w:rsidR="00E723ED">
              <w:rPr>
                <w:rFonts w:cs="Times New Roman"/>
                <w:b/>
                <w:bCs/>
                <w:sz w:val="24"/>
                <w:szCs w:val="24"/>
              </w:rPr>
              <w:t>/</w:t>
            </w:r>
            <w:r w:rsidR="00185243">
              <w:rPr>
                <w:rFonts w:cs="Times New Roman"/>
                <w:b/>
                <w:bCs/>
                <w:sz w:val="24"/>
                <w:szCs w:val="24"/>
              </w:rPr>
              <w:t>07</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02F351A" w:rsidR="006163E8" w:rsidRPr="00041761" w:rsidRDefault="007A3B68" w:rsidP="00A1072C">
            <w:pPr>
              <w:tabs>
                <w:tab w:val="left" w:pos="1559"/>
                <w:tab w:val="left" w:pos="2268"/>
              </w:tabs>
              <w:snapToGrid w:val="0"/>
              <w:spacing w:before="57" w:after="57" w:line="360" w:lineRule="auto"/>
              <w:ind w:left="129"/>
              <w:jc w:val="both"/>
              <w:rPr>
                <w:rFonts w:cs="Times New Roman"/>
              </w:rPr>
            </w:pPr>
            <w:r>
              <w:rPr>
                <w:color w:val="000000"/>
              </w:rPr>
              <w:t> Contratação de serviços com suporte técnico, por 36 meses, do pacote de </w:t>
            </w:r>
            <w:r>
              <w:rPr>
                <w:rStyle w:val="nfase"/>
                <w:color w:val="000000"/>
              </w:rPr>
              <w:t>Software</w:t>
            </w:r>
            <w:r>
              <w:rPr>
                <w:color w:val="000000"/>
              </w:rPr>
              <w:t> </w:t>
            </w:r>
            <w:proofErr w:type="spellStart"/>
            <w:r>
              <w:rPr>
                <w:rStyle w:val="nfase"/>
                <w:color w:val="000000"/>
              </w:rPr>
              <w:t>Suite</w:t>
            </w:r>
            <w:proofErr w:type="spellEnd"/>
            <w:r>
              <w:rPr>
                <w:rStyle w:val="nfase"/>
                <w:color w:val="000000"/>
              </w:rPr>
              <w:t xml:space="preserve"> </w:t>
            </w:r>
            <w:proofErr w:type="spellStart"/>
            <w:r>
              <w:rPr>
                <w:rStyle w:val="nfase"/>
                <w:color w:val="000000"/>
              </w:rPr>
              <w:t>AutoDesk</w:t>
            </w:r>
            <w:proofErr w:type="spellEnd"/>
            <w:r>
              <w:rPr>
                <w:rStyle w:val="nfase"/>
                <w:color w:val="000000"/>
              </w:rPr>
              <w:t xml:space="preserve"> </w:t>
            </w:r>
            <w:proofErr w:type="spellStart"/>
            <w:r>
              <w:rPr>
                <w:rStyle w:val="nfase"/>
                <w:color w:val="000000"/>
              </w:rPr>
              <w:t>Architecture</w:t>
            </w:r>
            <w:proofErr w:type="spellEnd"/>
            <w:r>
              <w:rPr>
                <w:rStyle w:val="nfase"/>
                <w:color w:val="000000"/>
              </w:rPr>
              <w:t xml:space="preserve"> </w:t>
            </w:r>
            <w:proofErr w:type="spellStart"/>
            <w:r>
              <w:rPr>
                <w:rStyle w:val="nfase"/>
                <w:color w:val="000000"/>
              </w:rPr>
              <w:t>Enginerring</w:t>
            </w:r>
            <w:proofErr w:type="spellEnd"/>
            <w:r>
              <w:rPr>
                <w:rStyle w:val="nfase"/>
                <w:color w:val="000000"/>
              </w:rPr>
              <w:t xml:space="preserve"> </w:t>
            </w:r>
            <w:proofErr w:type="spellStart"/>
            <w:r>
              <w:rPr>
                <w:rStyle w:val="nfase"/>
                <w:color w:val="000000"/>
              </w:rPr>
              <w:t>and</w:t>
            </w:r>
            <w:proofErr w:type="spellEnd"/>
            <w:r>
              <w:rPr>
                <w:rStyle w:val="nfase"/>
                <w:color w:val="000000"/>
              </w:rPr>
              <w:t xml:space="preserve"> </w:t>
            </w:r>
            <w:proofErr w:type="spellStart"/>
            <w:r>
              <w:rPr>
                <w:rStyle w:val="nfase"/>
                <w:color w:val="000000"/>
              </w:rPr>
              <w:t>Construction</w:t>
            </w:r>
            <w:proofErr w:type="spellEnd"/>
            <w:r>
              <w:rPr>
                <w:rStyle w:val="nfase"/>
                <w:color w:val="000000"/>
              </w:rPr>
              <w:t xml:space="preserve"> </w:t>
            </w:r>
            <w:proofErr w:type="spellStart"/>
            <w:r>
              <w:rPr>
                <w:rStyle w:val="nfase"/>
                <w:color w:val="000000"/>
              </w:rPr>
              <w:t>Collection</w:t>
            </w:r>
            <w:proofErr w:type="spellEnd"/>
            <w:r>
              <w:rPr>
                <w:rStyle w:val="nfase"/>
                <w:color w:val="000000"/>
              </w:rPr>
              <w:t xml:space="preserve"> – AEC COLLECTION</w:t>
            </w:r>
            <w:r>
              <w:rPr>
                <w:color w:val="000000"/>
              </w:rPr>
              <w:t>, já em uso pelo Conselho Nacional do Ministério Público – CNMP, sendo: renovação da subscrição de 04 (quatro) licenças, conforme condições comerciais relacionadas ao Contrato AUTODESK nº 110002804049; e subscrição de 02 (duas) novas licenças</w:t>
            </w:r>
            <w:r w:rsidR="00FF752D" w:rsidRPr="00041761">
              <w:rPr>
                <w:rStyle w:val="Fontepargpadro1"/>
                <w:rFonts w:cs="Times New Roman"/>
                <w:bCs/>
              </w:rPr>
              <w:t xml:space="preserve">. </w:t>
            </w:r>
          </w:p>
        </w:tc>
      </w:tr>
      <w:tr w:rsidR="006163E8" w:rsidRPr="00041761"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041761" w:rsidRDefault="006163E8">
            <w:pPr>
              <w:pStyle w:val="textojustificadorecuoprimeiralinha"/>
              <w:snapToGrid w:val="0"/>
              <w:spacing w:before="0" w:after="0"/>
              <w:ind w:right="700"/>
              <w:jc w:val="both"/>
              <w:rPr>
                <w:b/>
                <w:bCs/>
                <w:color w:val="000000"/>
              </w:rPr>
            </w:pPr>
          </w:p>
          <w:p w14:paraId="665049DD" w14:textId="77777777" w:rsidR="00E04D03" w:rsidRDefault="005D0D5D" w:rsidP="0007272D">
            <w:pPr>
              <w:pStyle w:val="textojustificadorecuoprimeiralinha"/>
              <w:spacing w:before="0" w:after="0"/>
              <w:ind w:right="700"/>
              <w:jc w:val="both"/>
              <w:rPr>
                <w:rStyle w:val="Forte"/>
                <w:color w:val="000000"/>
              </w:rPr>
            </w:pPr>
            <w:r>
              <w:rPr>
                <w:rStyle w:val="Forte"/>
                <w:color w:val="000000"/>
              </w:rPr>
              <w:t>R$ 169.940,00 (cento e sessenta e nove mil, novecentos e quarenta reais).</w:t>
            </w:r>
          </w:p>
          <w:p w14:paraId="0A37501D" w14:textId="7AAD52D9" w:rsidR="005D0D5D" w:rsidRPr="00041761" w:rsidRDefault="005D0D5D" w:rsidP="0007272D">
            <w:pPr>
              <w:pStyle w:val="textojustificadorecuoprimeiralinha"/>
              <w:spacing w:before="0" w:after="0"/>
              <w:ind w:right="700"/>
              <w:jc w:val="both"/>
              <w:rPr>
                <w:color w:val="000000"/>
              </w:rPr>
            </w:pPr>
          </w:p>
        </w:tc>
      </w:tr>
      <w:tr w:rsidR="006163E8" w:rsidRPr="00041761"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1C0027F" w:rsidR="00FB1C9A" w:rsidRPr="00041761" w:rsidRDefault="004A68B2"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EE37E17"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w:t>
            </w:r>
            <w:r w:rsidR="004A68B2">
              <w:rPr>
                <w:rFonts w:cs="Times New Roman"/>
                <w:sz w:val="24"/>
                <w:szCs w:val="24"/>
              </w:rPr>
              <w:t xml:space="preserve">valor global </w:t>
            </w:r>
            <w:r w:rsidR="0008337D">
              <w:rPr>
                <w:rFonts w:cs="Times New Roman"/>
                <w:sz w:val="24"/>
                <w:szCs w:val="24"/>
              </w:rPr>
              <w:t>por item</w:t>
            </w:r>
          </w:p>
        </w:tc>
      </w:tr>
      <w:tr w:rsidR="006163E8" w:rsidRPr="00041761"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397F3FB" w:rsidR="006163E8" w:rsidRPr="00041761" w:rsidRDefault="00B24A61" w:rsidP="00931D4F">
            <w:pPr>
              <w:pStyle w:val="Standard"/>
              <w:jc w:val="both"/>
              <w:rPr>
                <w:rFonts w:cs="Times New Roman"/>
                <w:sz w:val="24"/>
                <w:szCs w:val="24"/>
              </w:rPr>
            </w:pPr>
            <w:r w:rsidRPr="00041761">
              <w:rPr>
                <w:rFonts w:cs="Times New Roman"/>
                <w:sz w:val="24"/>
                <w:szCs w:val="24"/>
              </w:rPr>
              <w:t>Até</w:t>
            </w:r>
            <w:r w:rsidR="004A68B2">
              <w:rPr>
                <w:rFonts w:cs="Times New Roman"/>
                <w:sz w:val="24"/>
                <w:szCs w:val="24"/>
              </w:rPr>
              <w:t xml:space="preserve"> </w:t>
            </w:r>
            <w:r w:rsidR="00185243">
              <w:rPr>
                <w:rFonts w:cs="Times New Roman"/>
                <w:sz w:val="24"/>
                <w:szCs w:val="24"/>
              </w:rPr>
              <w:t>13</w:t>
            </w:r>
            <w:r w:rsidR="004A68B2">
              <w:rPr>
                <w:rFonts w:cs="Times New Roman"/>
                <w:sz w:val="24"/>
                <w:szCs w:val="24"/>
              </w:rPr>
              <w:t>/</w:t>
            </w:r>
            <w:r w:rsidR="00185243">
              <w:rPr>
                <w:rFonts w:cs="Times New Roman"/>
                <w:sz w:val="24"/>
                <w:szCs w:val="24"/>
              </w:rPr>
              <w:t>07</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E9E2D1B" w:rsidR="006163E8" w:rsidRPr="00041761" w:rsidRDefault="00B24A61" w:rsidP="00931D4F">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w:t>
            </w:r>
            <w:r w:rsidR="00185243">
              <w:rPr>
                <w:rFonts w:cs="Times New Roman"/>
                <w:sz w:val="24"/>
                <w:szCs w:val="24"/>
              </w:rPr>
              <w:t>13</w:t>
            </w:r>
            <w:r w:rsidR="004A68B2">
              <w:rPr>
                <w:rFonts w:cs="Times New Roman"/>
                <w:sz w:val="24"/>
                <w:szCs w:val="24"/>
              </w:rPr>
              <w:t>/</w:t>
            </w:r>
            <w:r w:rsidR="00185243">
              <w:rPr>
                <w:rFonts w:cs="Times New Roman"/>
                <w:sz w:val="24"/>
                <w:szCs w:val="24"/>
              </w:rPr>
              <w:t>07</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1EDCD159" w14:textId="79D382A4"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2E60FD">
        <w:rPr>
          <w:rFonts w:cs="Times New Roman"/>
          <w:b/>
          <w:sz w:val="24"/>
          <w:szCs w:val="24"/>
          <w:u w:val="single"/>
        </w:rPr>
        <w:t>11</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13CC1898"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2E60FD" w:rsidRPr="002E60FD">
        <w:rPr>
          <w:rFonts w:cs="Times New Roman"/>
          <w:b/>
          <w:bCs/>
          <w:sz w:val="24"/>
          <w:szCs w:val="24"/>
          <w:u w:val="single"/>
        </w:rPr>
        <w:t>19.00.6160.0003047/2022-42</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686C9B8A"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017504">
        <w:rPr>
          <w:rFonts w:cs="Times New Roman"/>
          <w:b/>
          <w:bCs/>
          <w:sz w:val="24"/>
          <w:szCs w:val="24"/>
        </w:rPr>
        <w:t xml:space="preserve"> </w:t>
      </w:r>
      <w:r w:rsidR="00185243">
        <w:rPr>
          <w:rFonts w:cs="Times New Roman"/>
          <w:b/>
          <w:bCs/>
          <w:sz w:val="24"/>
          <w:szCs w:val="24"/>
        </w:rPr>
        <w:t>18</w:t>
      </w:r>
      <w:r w:rsidR="006B3800">
        <w:rPr>
          <w:rFonts w:cs="Times New Roman"/>
          <w:b/>
          <w:bCs/>
          <w:sz w:val="24"/>
          <w:szCs w:val="24"/>
        </w:rPr>
        <w:t>/</w:t>
      </w:r>
      <w:r w:rsidR="00185243">
        <w:rPr>
          <w:rFonts w:cs="Times New Roman"/>
          <w:b/>
          <w:bCs/>
          <w:sz w:val="24"/>
          <w:szCs w:val="24"/>
        </w:rPr>
        <w:t>07</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7583E8AF"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2E60FD">
        <w:rPr>
          <w:rFonts w:ascii="Times New Roman" w:eastAsia="CourierNewPSMT" w:hAnsi="Times New Roman" w:cs="Times New Roman"/>
          <w:b/>
          <w:bCs/>
          <w:sz w:val="24"/>
          <w:szCs w:val="24"/>
        </w:rPr>
        <w:t xml:space="preserve"> </w:t>
      </w:r>
      <w:r w:rsidR="00185243">
        <w:rPr>
          <w:rFonts w:ascii="Times New Roman" w:eastAsia="CourierNewPSMT" w:hAnsi="Times New Roman" w:cs="Times New Roman"/>
          <w:b/>
          <w:bCs/>
          <w:sz w:val="24"/>
          <w:szCs w:val="24"/>
        </w:rPr>
        <w:t>18</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2E60FD">
        <w:rPr>
          <w:rFonts w:ascii="Times New Roman" w:eastAsia="CourierNewPSMT" w:hAnsi="Times New Roman" w:cs="Times New Roman"/>
          <w:b/>
          <w:bCs/>
          <w:sz w:val="24"/>
          <w:szCs w:val="24"/>
        </w:rPr>
        <w:t xml:space="preserve"> </w:t>
      </w:r>
      <w:r w:rsidR="00185243">
        <w:rPr>
          <w:rFonts w:ascii="Times New Roman" w:eastAsia="CourierNewPSMT" w:hAnsi="Times New Roman" w:cs="Times New Roman"/>
          <w:b/>
          <w:bCs/>
          <w:sz w:val="24"/>
          <w:szCs w:val="24"/>
        </w:rPr>
        <w:t xml:space="preserve">julho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w:t>
      </w:r>
      <w:r w:rsidR="004A68B2">
        <w:rPr>
          <w:rFonts w:ascii="Times New Roman" w:hAnsi="Times New Roman" w:cs="Times New Roman"/>
          <w:b/>
          <w:bCs/>
          <w:color w:val="000000"/>
          <w:sz w:val="24"/>
          <w:szCs w:val="24"/>
        </w:rPr>
        <w:t xml:space="preserve"> </w:t>
      </w:r>
      <w:r w:rsidRPr="00041761">
        <w:rPr>
          <w:rFonts w:ascii="Times New Roman" w:hAnsi="Times New Roman" w:cs="Times New Roman"/>
          <w:b/>
          <w:bCs/>
          <w:color w:val="000000"/>
          <w:sz w:val="24"/>
          <w:szCs w:val="24"/>
        </w:rPr>
        <w:t xml:space="preserve"> na modalidade de PREGÃO ELETRÔNICO,</w:t>
      </w:r>
      <w:r w:rsidR="004A68B2">
        <w:rPr>
          <w:rFonts w:ascii="Times New Roman" w:hAnsi="Times New Roman" w:cs="Times New Roman"/>
          <w:b/>
          <w:bCs/>
          <w:color w:val="000000"/>
          <w:sz w:val="24"/>
          <w:szCs w:val="24"/>
        </w:rPr>
        <w:t xml:space="preserve"> empreitada por preço global,</w:t>
      </w:r>
      <w:r w:rsidR="004A68B2" w:rsidRPr="708F6FFA">
        <w:rPr>
          <w:rFonts w:ascii="Times New Roman" w:hAnsi="Times New Roman" w:cs="Times New Roman"/>
          <w:b/>
          <w:bCs/>
          <w:sz w:val="24"/>
          <w:szCs w:val="24"/>
        </w:rPr>
        <w:t xml:space="preserve"> </w:t>
      </w:r>
      <w:r w:rsidRPr="708F6FFA">
        <w:rPr>
          <w:rFonts w:ascii="Times New Roman" w:hAnsi="Times New Roman" w:cs="Times New Roman"/>
          <w:b/>
          <w:bCs/>
          <w:sz w:val="24"/>
          <w:szCs w:val="24"/>
        </w:rPr>
        <w:t xml:space="preserve">visando </w:t>
      </w:r>
      <w:r w:rsidR="005C49EE" w:rsidRPr="708F6FFA">
        <w:rPr>
          <w:rFonts w:ascii="Times New Roman" w:hAnsi="Times New Roman" w:cs="Times New Roman"/>
          <w:b/>
          <w:bCs/>
          <w:sz w:val="24"/>
          <w:szCs w:val="24"/>
        </w:rPr>
        <w:t>a</w:t>
      </w:r>
      <w:r w:rsidR="007A6F22" w:rsidRPr="708F6FFA">
        <w:rPr>
          <w:rFonts w:ascii="Times New Roman" w:hAnsi="Times New Roman" w:cs="Times New Roman"/>
          <w:b/>
          <w:bCs/>
          <w:sz w:val="24"/>
          <w:szCs w:val="24"/>
        </w:rPr>
        <w:t xml:space="preserve"> </w:t>
      </w:r>
      <w:r w:rsidR="004A68B2">
        <w:rPr>
          <w:rFonts w:ascii="Times New Roman" w:hAnsi="Times New Roman" w:cs="Times New Roman"/>
          <w:b/>
          <w:bCs/>
          <w:sz w:val="24"/>
          <w:szCs w:val="24"/>
        </w:rPr>
        <w:t>c</w:t>
      </w:r>
      <w:r w:rsidR="002E60FD" w:rsidRPr="708F6FFA">
        <w:rPr>
          <w:rFonts w:ascii="Times New Roman" w:hAnsi="Times New Roman" w:cs="Times New Roman"/>
          <w:b/>
          <w:bCs/>
          <w:sz w:val="24"/>
          <w:szCs w:val="24"/>
        </w:rPr>
        <w:t>ontratação de serviços com suporte técnico, por 36 meses, do pacote de </w:t>
      </w:r>
      <w:r w:rsidR="002E60FD" w:rsidRPr="708F6FFA">
        <w:rPr>
          <w:rFonts w:ascii="Times New Roman" w:hAnsi="Times New Roman" w:cs="Times New Roman"/>
          <w:b/>
          <w:bCs/>
          <w:i/>
          <w:iCs/>
          <w:sz w:val="24"/>
          <w:szCs w:val="24"/>
        </w:rPr>
        <w:t>Software</w:t>
      </w:r>
      <w:r w:rsidR="002E60FD" w:rsidRPr="708F6FFA">
        <w:rPr>
          <w:rFonts w:ascii="Times New Roman" w:hAnsi="Times New Roman" w:cs="Times New Roman"/>
          <w:b/>
          <w:bCs/>
          <w:sz w:val="24"/>
          <w:szCs w:val="24"/>
        </w:rPr>
        <w:t> </w:t>
      </w:r>
      <w:proofErr w:type="spellStart"/>
      <w:r w:rsidR="002E60FD" w:rsidRPr="708F6FFA">
        <w:rPr>
          <w:rFonts w:ascii="Times New Roman" w:hAnsi="Times New Roman" w:cs="Times New Roman"/>
          <w:b/>
          <w:bCs/>
          <w:i/>
          <w:iCs/>
          <w:sz w:val="24"/>
          <w:szCs w:val="24"/>
        </w:rPr>
        <w:t>Suite</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AutoDesk</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Architecture</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Enginerring</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and</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Construction</w:t>
      </w:r>
      <w:proofErr w:type="spellEnd"/>
      <w:r w:rsidR="002E60FD" w:rsidRPr="708F6FFA">
        <w:rPr>
          <w:rFonts w:ascii="Times New Roman" w:hAnsi="Times New Roman" w:cs="Times New Roman"/>
          <w:b/>
          <w:bCs/>
          <w:i/>
          <w:iCs/>
          <w:sz w:val="24"/>
          <w:szCs w:val="24"/>
        </w:rPr>
        <w:t xml:space="preserve"> </w:t>
      </w:r>
      <w:proofErr w:type="spellStart"/>
      <w:r w:rsidR="002E60FD" w:rsidRPr="708F6FFA">
        <w:rPr>
          <w:rFonts w:ascii="Times New Roman" w:hAnsi="Times New Roman" w:cs="Times New Roman"/>
          <w:b/>
          <w:bCs/>
          <w:i/>
          <w:iCs/>
          <w:sz w:val="24"/>
          <w:szCs w:val="24"/>
        </w:rPr>
        <w:t>Collection</w:t>
      </w:r>
      <w:proofErr w:type="spellEnd"/>
      <w:r w:rsidR="002E60FD" w:rsidRPr="708F6FFA">
        <w:rPr>
          <w:rFonts w:ascii="Times New Roman" w:hAnsi="Times New Roman" w:cs="Times New Roman"/>
          <w:b/>
          <w:bCs/>
          <w:i/>
          <w:iCs/>
          <w:sz w:val="24"/>
          <w:szCs w:val="24"/>
        </w:rPr>
        <w:t xml:space="preserve"> – AEC COLLECTION</w:t>
      </w:r>
      <w:r w:rsidR="002E60FD" w:rsidRPr="708F6FFA">
        <w:rPr>
          <w:rFonts w:ascii="Times New Roman" w:hAnsi="Times New Roman" w:cs="Times New Roman"/>
          <w:b/>
          <w:bCs/>
          <w:sz w:val="24"/>
          <w:szCs w:val="24"/>
        </w:rPr>
        <w:t>, já em uso pelo Conselho Nacional do Ministério Público – CNMP, sendo: renovação da subscrição de 04 (quatro) licenças, conforme condições comerciais relacionadas ao Contrato AUTODESK nº 110002804049; e subscrição de 02 (duas) novas licenças</w:t>
      </w:r>
      <w:r w:rsidR="00926A32" w:rsidRPr="00041761">
        <w:rPr>
          <w:rFonts w:ascii="Times New Roman" w:hAnsi="Times New Roman" w:cs="Times New Roman"/>
          <w:sz w:val="24"/>
          <w:szCs w:val="24"/>
        </w:rPr>
        <w:t>,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2E60FD">
        <w:t>.</w:t>
      </w:r>
      <w:r w:rsidR="005C49EE" w:rsidRPr="002E60FD">
        <w:rPr>
          <w:rFonts w:ascii="Times New Roman" w:hAnsi="Times New Roman" w:cs="Times New Roman"/>
          <w:sz w:val="24"/>
          <w:szCs w:val="24"/>
        </w:rPr>
        <w:t xml:space="preserve"> </w:t>
      </w:r>
      <w:r w:rsidR="00F63FE4" w:rsidRPr="002E60FD">
        <w:rPr>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w:t>
      </w:r>
      <w:r w:rsidRPr="00041761">
        <w:rPr>
          <w:rFonts w:ascii="Times New Roman" w:hAnsi="Times New Roman" w:cs="Times New Roman"/>
          <w:sz w:val="24"/>
          <w:szCs w:val="24"/>
        </w:rPr>
        <w:lastRenderedPageBreak/>
        <w:t xml:space="preserve">pela Lei nº 10.520 </w:t>
      </w:r>
      <w:r w:rsidRPr="00041761">
        <w:rPr>
          <w:rFonts w:ascii="Times New Roman" w:eastAsia="Arial" w:hAnsi="Times New Roman" w:cs="Times New Roman"/>
          <w:sz w:val="24"/>
          <w:szCs w:val="24"/>
        </w:rPr>
        <w:t>de 17/07/2002 e Lei nº 8.666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223AF333"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5E4B35" w:rsidRPr="005E4B35">
        <w:rPr>
          <w:rFonts w:ascii="Times New Roman" w:eastAsia="CourierNewPSMT" w:hAnsi="Times New Roman" w:cs="Times New Roman"/>
          <w:color w:val="auto"/>
          <w:sz w:val="24"/>
          <w:szCs w:val="24"/>
        </w:rPr>
        <w:t>Contratação de serviços com suporte técnico, por 36 meses, do pacote de </w:t>
      </w:r>
      <w:r w:rsidR="005E4B35" w:rsidRPr="005E4B35">
        <w:rPr>
          <w:rFonts w:ascii="Times New Roman" w:eastAsia="CourierNewPSMT" w:hAnsi="Times New Roman" w:cs="Times New Roman"/>
          <w:i/>
          <w:iCs/>
          <w:color w:val="auto"/>
          <w:sz w:val="24"/>
          <w:szCs w:val="24"/>
        </w:rPr>
        <w:t>Software</w:t>
      </w:r>
      <w:r w:rsidR="005E4B35" w:rsidRPr="005E4B35">
        <w:rPr>
          <w:rFonts w:ascii="Times New Roman" w:eastAsia="CourierNewPSMT" w:hAnsi="Times New Roman" w:cs="Times New Roman"/>
          <w:color w:val="auto"/>
          <w:sz w:val="24"/>
          <w:szCs w:val="24"/>
        </w:rPr>
        <w:t> </w:t>
      </w:r>
      <w:proofErr w:type="spellStart"/>
      <w:r w:rsidR="005E4B35" w:rsidRPr="005E4B35">
        <w:rPr>
          <w:rFonts w:ascii="Times New Roman" w:eastAsia="CourierNewPSMT" w:hAnsi="Times New Roman" w:cs="Times New Roman"/>
          <w:i/>
          <w:iCs/>
          <w:color w:val="auto"/>
          <w:sz w:val="24"/>
          <w:szCs w:val="24"/>
        </w:rPr>
        <w:t>Suite</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AutoDesk</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Architecture</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Enginerring</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and</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Construction</w:t>
      </w:r>
      <w:proofErr w:type="spellEnd"/>
      <w:r w:rsidR="005E4B35" w:rsidRPr="005E4B35">
        <w:rPr>
          <w:rFonts w:ascii="Times New Roman" w:eastAsia="CourierNewPSMT" w:hAnsi="Times New Roman" w:cs="Times New Roman"/>
          <w:i/>
          <w:iCs/>
          <w:color w:val="auto"/>
          <w:sz w:val="24"/>
          <w:szCs w:val="24"/>
        </w:rPr>
        <w:t xml:space="preserve"> </w:t>
      </w:r>
      <w:proofErr w:type="spellStart"/>
      <w:r w:rsidR="005E4B35" w:rsidRPr="005E4B35">
        <w:rPr>
          <w:rFonts w:ascii="Times New Roman" w:eastAsia="CourierNewPSMT" w:hAnsi="Times New Roman" w:cs="Times New Roman"/>
          <w:i/>
          <w:iCs/>
          <w:color w:val="auto"/>
          <w:sz w:val="24"/>
          <w:szCs w:val="24"/>
        </w:rPr>
        <w:t>Collection</w:t>
      </w:r>
      <w:proofErr w:type="spellEnd"/>
      <w:r w:rsidR="005E4B35" w:rsidRPr="005E4B35">
        <w:rPr>
          <w:rFonts w:ascii="Times New Roman" w:eastAsia="CourierNewPSMT" w:hAnsi="Times New Roman" w:cs="Times New Roman"/>
          <w:i/>
          <w:iCs/>
          <w:color w:val="auto"/>
          <w:sz w:val="24"/>
          <w:szCs w:val="24"/>
        </w:rPr>
        <w:t xml:space="preserve"> – AEC COLLECTION</w:t>
      </w:r>
      <w:r w:rsidR="005E4B35" w:rsidRPr="005E4B35">
        <w:rPr>
          <w:rFonts w:ascii="Times New Roman" w:eastAsia="CourierNewPSMT" w:hAnsi="Times New Roman" w:cs="Times New Roman"/>
          <w:color w:val="auto"/>
          <w:sz w:val="24"/>
          <w:szCs w:val="24"/>
        </w:rPr>
        <w:t>, já em uso pelo Conselho Nacional do Ministério Público – CNMP, sendo: renovação da subscrição de 04 (quatro) licenças, conforme condições comerciais relacionadas ao Contrato AUTODESK nº 110002804049; e subscrição de 02 (duas) novas licenças</w:t>
      </w:r>
      <w:r w:rsidR="00E66C6F">
        <w:rPr>
          <w:rFonts w:ascii="Times New Roman" w:eastAsia="CourierNewPSMT" w:hAnsi="Times New Roman"/>
          <w:color w:val="auto"/>
          <w:sz w:val="24"/>
          <w:szCs w:val="24"/>
        </w:rPr>
        <w:t>,</w:t>
      </w:r>
      <w:r w:rsidR="003B45D0" w:rsidRPr="005E4B35">
        <w:rPr>
          <w:rFonts w:ascii="Times New Roman" w:eastAsia="CourierNewPSMT" w:hAnsi="Times New Roman" w:cs="Times New Roman"/>
          <w:color w:val="auto"/>
          <w:sz w:val="24"/>
          <w:szCs w:val="24"/>
        </w:rPr>
        <w:t xml:space="preserve"> </w:t>
      </w:r>
      <w:r w:rsidRPr="005E4B35">
        <w:rPr>
          <w:rFonts w:ascii="Times New Roman" w:eastAsia="CourierNewPSMT" w:hAnsi="Times New Roman" w:cs="Times New Roman"/>
          <w:color w:val="auto"/>
          <w:sz w:val="24"/>
          <w:szCs w:val="24"/>
        </w:rPr>
        <w:t>conforme especificações constantes do Anexo I (Termo de Referência) e as condições</w:t>
      </w:r>
      <w:r w:rsidRPr="00041761">
        <w:rPr>
          <w:rFonts w:ascii="Times New Roman" w:eastAsia="Arial" w:hAnsi="Times New Roman" w:cs="Times New Roman"/>
          <w:sz w:val="24"/>
          <w:szCs w:val="24"/>
        </w:rPr>
        <w:t xml:space="preserve">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1847365B" w:rsidR="006163E8" w:rsidRPr="00041761" w:rsidRDefault="006163E8" w:rsidP="006D7DBB">
      <w:pPr>
        <w:spacing w:line="360" w:lineRule="auto"/>
        <w:ind w:firstLine="1417"/>
        <w:jc w:val="both"/>
        <w:rPr>
          <w:rFonts w:cs="Times New Roman"/>
        </w:rPr>
      </w:pPr>
      <w:r w:rsidRPr="00041761">
        <w:rPr>
          <w:rFonts w:cs="Times New Roman"/>
        </w:rPr>
        <w:lastRenderedPageBreak/>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w:t>
      </w:r>
      <w:r w:rsidR="006F1D30" w:rsidRPr="00041761">
        <w:rPr>
          <w:rFonts w:ascii="Times New Roman" w:eastAsia="Times New Roman" w:hAnsi="Times New Roman" w:cs="Times New Roman"/>
          <w:b/>
          <w:bCs/>
          <w:sz w:val="24"/>
          <w:szCs w:val="24"/>
        </w:rPr>
        <w:lastRenderedPageBreak/>
        <w:t>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lastRenderedPageBreak/>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 xml:space="preserve">5.8. Os documentos que compõem a proposta e a habilitação do licitante melhor classificado somente serão disponibilizados para avaliação do pregoeiro e para acesso público após o </w:t>
      </w:r>
      <w:r w:rsidRPr="00041761">
        <w:rPr>
          <w:rFonts w:cs="Times New Roman"/>
        </w:rPr>
        <w:lastRenderedPageBreak/>
        <w:t>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3148DAA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E66C6F">
        <w:rPr>
          <w:rFonts w:cs="Times New Roman"/>
          <w:color w:val="000000"/>
          <w:sz w:val="24"/>
          <w:szCs w:val="24"/>
        </w:rPr>
        <w:t>11</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74199332"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4A68B2">
        <w:rPr>
          <w:rFonts w:eastAsia="Arial" w:cs="Times New Roman"/>
          <w:b/>
          <w:bCs/>
          <w:sz w:val="24"/>
          <w:szCs w:val="24"/>
        </w:rPr>
        <w:t xml:space="preserve"> </w:t>
      </w:r>
      <w:r w:rsidR="00185243">
        <w:rPr>
          <w:rFonts w:eastAsia="Arial" w:cs="Times New Roman"/>
          <w:b/>
          <w:bCs/>
          <w:sz w:val="24"/>
          <w:szCs w:val="24"/>
        </w:rPr>
        <w:t>13</w:t>
      </w:r>
      <w:r w:rsidR="004A68B2">
        <w:rPr>
          <w:rFonts w:eastAsia="Arial" w:cs="Times New Roman"/>
          <w:b/>
          <w:bCs/>
          <w:sz w:val="24"/>
          <w:szCs w:val="24"/>
        </w:rPr>
        <w:t>/</w:t>
      </w:r>
      <w:r w:rsidR="00185243">
        <w:rPr>
          <w:rFonts w:eastAsia="Arial" w:cs="Times New Roman"/>
          <w:b/>
          <w:bCs/>
          <w:sz w:val="24"/>
          <w:szCs w:val="24"/>
        </w:rPr>
        <w:t>07</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55BD5441"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4A68B2">
        <w:rPr>
          <w:rFonts w:eastAsia="Arial" w:cs="Times New Roman"/>
          <w:b/>
          <w:bCs/>
          <w:sz w:val="24"/>
          <w:szCs w:val="24"/>
        </w:rPr>
        <w:t xml:space="preserve"> </w:t>
      </w:r>
      <w:r w:rsidR="00185243">
        <w:rPr>
          <w:rFonts w:eastAsia="Arial" w:cs="Times New Roman"/>
          <w:b/>
          <w:bCs/>
          <w:sz w:val="24"/>
          <w:szCs w:val="24"/>
        </w:rPr>
        <w:t>18</w:t>
      </w:r>
      <w:r w:rsidR="004A68B2">
        <w:rPr>
          <w:rFonts w:eastAsia="Arial" w:cs="Times New Roman"/>
          <w:b/>
          <w:bCs/>
          <w:sz w:val="24"/>
          <w:szCs w:val="24"/>
        </w:rPr>
        <w:t>/</w:t>
      </w:r>
      <w:r w:rsidR="00185243">
        <w:rPr>
          <w:rFonts w:eastAsia="Arial" w:cs="Times New Roman"/>
          <w:b/>
          <w:bCs/>
          <w:sz w:val="24"/>
          <w:szCs w:val="24"/>
        </w:rPr>
        <w:t>07</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w:t>
      </w:r>
      <w:r w:rsidRPr="00041761">
        <w:rPr>
          <w:rFonts w:eastAsia="Arial" w:cs="Times New Roman"/>
          <w:color w:val="000000" w:themeColor="text1"/>
          <w:sz w:val="24"/>
          <w:szCs w:val="24"/>
        </w:rPr>
        <w:lastRenderedPageBreak/>
        <w:t>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041761">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E6EF880"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4A68B2">
        <w:rPr>
          <w:rFonts w:eastAsia="Arial" w:cs="Times New Roman"/>
          <w:sz w:val="24"/>
          <w:szCs w:val="24"/>
        </w:rPr>
        <w:t xml:space="preserve">global </w:t>
      </w:r>
      <w:r w:rsidR="0008337D">
        <w:rPr>
          <w:rFonts w:eastAsia="Arial" w:cs="Times New Roman"/>
          <w:sz w:val="24"/>
          <w:szCs w:val="24"/>
        </w:rPr>
        <w:t>por item</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p w14:paraId="41286EDE" w14:textId="77777777" w:rsidR="00A772D6" w:rsidRPr="00B40E05" w:rsidRDefault="00A772D6" w:rsidP="00A772D6">
      <w:pPr>
        <w:pStyle w:val="Standard"/>
        <w:autoSpaceDE w:val="0"/>
        <w:rPr>
          <w:rFonts w:eastAsia="Arial" w:cs="Times New Roman"/>
          <w:b/>
          <w:sz w:val="24"/>
          <w:szCs w:val="24"/>
        </w:rPr>
      </w:pPr>
    </w:p>
    <w:tbl>
      <w:tblPr>
        <w:tblStyle w:val="Tabelacomgrade"/>
        <w:tblW w:w="4891" w:type="pct"/>
        <w:tblInd w:w="-34" w:type="dxa"/>
        <w:tblLayout w:type="fixed"/>
        <w:tblLook w:val="04A0" w:firstRow="1" w:lastRow="0" w:firstColumn="1" w:lastColumn="0" w:noHBand="0" w:noVBand="1"/>
      </w:tblPr>
      <w:tblGrid>
        <w:gridCol w:w="831"/>
        <w:gridCol w:w="2631"/>
        <w:gridCol w:w="1940"/>
        <w:gridCol w:w="1938"/>
        <w:gridCol w:w="2078"/>
      </w:tblGrid>
      <w:tr w:rsidR="003A23A9" w:rsidRPr="00EC7170" w14:paraId="6D7BD3ED" w14:textId="77777777" w:rsidTr="003A23A9">
        <w:tc>
          <w:tcPr>
            <w:tcW w:w="441" w:type="pct"/>
            <w:shd w:val="clear" w:color="auto" w:fill="D9D9D9" w:themeFill="background1" w:themeFillShade="D9"/>
            <w:vAlign w:val="center"/>
          </w:tcPr>
          <w:p w14:paraId="2EB6ABBE" w14:textId="77777777" w:rsidR="00393D9A" w:rsidRPr="00393D9A" w:rsidRDefault="00393D9A" w:rsidP="001D56C1">
            <w:pPr>
              <w:pStyle w:val="Default"/>
              <w:jc w:val="center"/>
              <w:rPr>
                <w:rFonts w:eastAsia="Times New Roman"/>
                <w:color w:val="auto"/>
              </w:rPr>
            </w:pPr>
            <w:r w:rsidRPr="00393D9A">
              <w:rPr>
                <w:rFonts w:eastAsia="Times New Roman"/>
                <w:color w:val="auto"/>
              </w:rPr>
              <w:t>ITEM</w:t>
            </w:r>
          </w:p>
        </w:tc>
        <w:tc>
          <w:tcPr>
            <w:tcW w:w="1397" w:type="pct"/>
            <w:shd w:val="clear" w:color="auto" w:fill="D9D9D9" w:themeFill="background1" w:themeFillShade="D9"/>
            <w:vAlign w:val="center"/>
          </w:tcPr>
          <w:p w14:paraId="30E766ED" w14:textId="77777777" w:rsidR="00393D9A" w:rsidRPr="00393D9A" w:rsidRDefault="00393D9A" w:rsidP="001D56C1">
            <w:pPr>
              <w:pStyle w:val="Default"/>
              <w:jc w:val="center"/>
              <w:rPr>
                <w:rFonts w:eastAsia="Times New Roman"/>
                <w:color w:val="auto"/>
              </w:rPr>
            </w:pPr>
            <w:r w:rsidRPr="00393D9A">
              <w:rPr>
                <w:rFonts w:eastAsia="Times New Roman"/>
                <w:color w:val="auto"/>
              </w:rPr>
              <w:t>DESCRIÇÃO</w:t>
            </w:r>
          </w:p>
        </w:tc>
        <w:tc>
          <w:tcPr>
            <w:tcW w:w="1030" w:type="pct"/>
            <w:shd w:val="clear" w:color="auto" w:fill="D9D9D9" w:themeFill="background1" w:themeFillShade="D9"/>
            <w:vAlign w:val="center"/>
          </w:tcPr>
          <w:p w14:paraId="38644FD7" w14:textId="4B0EA16D" w:rsidR="00393D9A" w:rsidRPr="00393D9A" w:rsidRDefault="00393D9A" w:rsidP="001D56C1">
            <w:pPr>
              <w:pStyle w:val="Default"/>
              <w:jc w:val="center"/>
              <w:rPr>
                <w:rFonts w:eastAsia="Times New Roman"/>
                <w:color w:val="auto"/>
              </w:rPr>
            </w:pPr>
            <w:r w:rsidRPr="00393D9A">
              <w:rPr>
                <w:rFonts w:eastAsia="Times New Roman"/>
                <w:color w:val="auto"/>
              </w:rPr>
              <w:t>QUANTIDADE DE LICENÇAS</w:t>
            </w:r>
          </w:p>
        </w:tc>
        <w:tc>
          <w:tcPr>
            <w:tcW w:w="1029" w:type="pct"/>
            <w:shd w:val="clear" w:color="auto" w:fill="D9D9D9" w:themeFill="background1" w:themeFillShade="D9"/>
            <w:vAlign w:val="center"/>
          </w:tcPr>
          <w:p w14:paraId="7B57B85A" w14:textId="2F5CD765" w:rsidR="00393D9A" w:rsidRPr="00393D9A" w:rsidRDefault="00393D9A" w:rsidP="001D56C1">
            <w:pPr>
              <w:pStyle w:val="Default"/>
              <w:jc w:val="center"/>
              <w:rPr>
                <w:rFonts w:eastAsia="Times New Roman"/>
                <w:color w:val="auto"/>
              </w:rPr>
            </w:pPr>
            <w:r w:rsidRPr="00393D9A">
              <w:rPr>
                <w:rFonts w:eastAsia="Times New Roman"/>
                <w:color w:val="auto"/>
              </w:rPr>
              <w:t>VALOR UNITÁRIO DA LICENÇA</w:t>
            </w:r>
          </w:p>
        </w:tc>
        <w:tc>
          <w:tcPr>
            <w:tcW w:w="1103" w:type="pct"/>
            <w:shd w:val="clear" w:color="auto" w:fill="D9D9D9" w:themeFill="background1" w:themeFillShade="D9"/>
            <w:vAlign w:val="center"/>
          </w:tcPr>
          <w:p w14:paraId="52284214" w14:textId="77777777" w:rsidR="00393D9A" w:rsidRPr="00393D9A" w:rsidRDefault="00393D9A" w:rsidP="001D56C1">
            <w:pPr>
              <w:pStyle w:val="Default"/>
              <w:jc w:val="center"/>
              <w:rPr>
                <w:rFonts w:eastAsia="Times New Roman"/>
                <w:bCs/>
                <w:color w:val="auto"/>
              </w:rPr>
            </w:pPr>
            <w:r w:rsidRPr="00393D9A">
              <w:rPr>
                <w:rFonts w:eastAsia="Times New Roman"/>
                <w:bCs/>
                <w:color w:val="auto"/>
              </w:rPr>
              <w:t>VALOR TOTAL DO ITEM</w:t>
            </w:r>
          </w:p>
        </w:tc>
      </w:tr>
      <w:tr w:rsidR="003A23A9" w:rsidRPr="00EC7170" w14:paraId="737EF055" w14:textId="77777777" w:rsidTr="003A23A9">
        <w:trPr>
          <w:trHeight w:val="567"/>
        </w:trPr>
        <w:tc>
          <w:tcPr>
            <w:tcW w:w="441" w:type="pct"/>
            <w:vAlign w:val="center"/>
          </w:tcPr>
          <w:p w14:paraId="427E230F" w14:textId="77777777" w:rsidR="00393D9A" w:rsidRPr="003A23A9" w:rsidRDefault="00393D9A" w:rsidP="001D56C1">
            <w:pPr>
              <w:pStyle w:val="Default"/>
              <w:spacing w:line="360" w:lineRule="auto"/>
              <w:jc w:val="center"/>
              <w:rPr>
                <w:rFonts w:eastAsia="Times New Roman"/>
                <w:color w:val="auto"/>
              </w:rPr>
            </w:pPr>
            <w:r w:rsidRPr="003A23A9">
              <w:rPr>
                <w:rFonts w:eastAsia="Times New Roman"/>
                <w:color w:val="auto"/>
              </w:rPr>
              <w:t>1</w:t>
            </w:r>
          </w:p>
        </w:tc>
        <w:tc>
          <w:tcPr>
            <w:tcW w:w="1397" w:type="pct"/>
            <w:vAlign w:val="center"/>
          </w:tcPr>
          <w:p w14:paraId="1977B996" w14:textId="77777777" w:rsidR="00393D9A" w:rsidRPr="003A23A9" w:rsidRDefault="00393D9A" w:rsidP="00393D9A">
            <w:pPr>
              <w:pStyle w:val="Default"/>
              <w:spacing w:line="360" w:lineRule="auto"/>
              <w:rPr>
                <w:rFonts w:eastAsia="Times New Roman"/>
                <w:color w:val="auto"/>
              </w:rPr>
            </w:pPr>
            <w:r w:rsidRPr="003A23A9">
              <w:rPr>
                <w:rFonts w:eastAsia="Times New Roman"/>
                <w:color w:val="auto"/>
              </w:rPr>
              <w:t xml:space="preserve">Contratação de serviços de renovação da subscrição, com suporte técnico (manutenção), </w:t>
            </w:r>
            <w:r w:rsidRPr="003A23A9">
              <w:rPr>
                <w:rFonts w:eastAsia="Times New Roman"/>
                <w:color w:val="auto"/>
              </w:rPr>
              <w:lastRenderedPageBreak/>
              <w:t xml:space="preserve">por 36 (trinta e seis) meses, de 4 (quatro) licenças do pacote de Software </w:t>
            </w:r>
            <w:proofErr w:type="spellStart"/>
            <w:r w:rsidRPr="003A23A9">
              <w:rPr>
                <w:rFonts w:eastAsia="Times New Roman"/>
                <w:color w:val="auto"/>
              </w:rPr>
              <w:t>SuiteAutoDeskArchitectureEnginerringandConstructionCollection</w:t>
            </w:r>
            <w:proofErr w:type="spellEnd"/>
            <w:r w:rsidRPr="003A23A9">
              <w:rPr>
                <w:rFonts w:eastAsia="Times New Roman"/>
                <w:color w:val="auto"/>
              </w:rPr>
              <w:t xml:space="preserve"> – AEC COLLECTION, já em uso pelo Conselho Nacional do Ministério Público - CNMP, conforme condições comerciais relacionadas ao Contrato AUTODESK Número nº 110002804049.</w:t>
            </w:r>
          </w:p>
          <w:p w14:paraId="7C13C8F1" w14:textId="34C234FE" w:rsidR="00393D9A" w:rsidRPr="003A23A9" w:rsidRDefault="00393D9A" w:rsidP="001D56C1">
            <w:pPr>
              <w:pStyle w:val="Default"/>
              <w:spacing w:line="360" w:lineRule="auto"/>
              <w:rPr>
                <w:rFonts w:eastAsia="Times New Roman"/>
                <w:color w:val="auto"/>
              </w:rPr>
            </w:pPr>
          </w:p>
        </w:tc>
        <w:tc>
          <w:tcPr>
            <w:tcW w:w="1030" w:type="pct"/>
            <w:vAlign w:val="center"/>
          </w:tcPr>
          <w:p w14:paraId="1E10C53B" w14:textId="110ABC46" w:rsidR="00393D9A" w:rsidRPr="003A23A9" w:rsidRDefault="00393D9A" w:rsidP="001D56C1">
            <w:pPr>
              <w:pStyle w:val="Default"/>
              <w:spacing w:line="360" w:lineRule="auto"/>
              <w:jc w:val="center"/>
              <w:rPr>
                <w:rFonts w:eastAsia="Times New Roman"/>
                <w:color w:val="auto"/>
              </w:rPr>
            </w:pPr>
            <w:r w:rsidRPr="003A23A9">
              <w:rPr>
                <w:rFonts w:eastAsia="Times New Roman"/>
                <w:color w:val="auto"/>
              </w:rPr>
              <w:lastRenderedPageBreak/>
              <w:t>4</w:t>
            </w:r>
          </w:p>
        </w:tc>
        <w:tc>
          <w:tcPr>
            <w:tcW w:w="1029" w:type="pct"/>
            <w:vAlign w:val="center"/>
          </w:tcPr>
          <w:p w14:paraId="046B2FB2" w14:textId="4617F3DB" w:rsidR="00393D9A" w:rsidRPr="003A23A9" w:rsidRDefault="00393D9A" w:rsidP="00393D9A">
            <w:pPr>
              <w:pStyle w:val="Default"/>
              <w:spacing w:line="360" w:lineRule="auto"/>
              <w:jc w:val="center"/>
              <w:rPr>
                <w:rFonts w:eastAsia="Times New Roman"/>
                <w:color w:val="auto"/>
              </w:rPr>
            </w:pPr>
            <w:r w:rsidRPr="003A23A9">
              <w:rPr>
                <w:rFonts w:eastAsia="Times New Roman"/>
                <w:color w:val="auto"/>
              </w:rPr>
              <w:t>R$ 18.990,00</w:t>
            </w:r>
          </w:p>
        </w:tc>
        <w:tc>
          <w:tcPr>
            <w:tcW w:w="1103" w:type="pct"/>
            <w:vAlign w:val="center"/>
          </w:tcPr>
          <w:p w14:paraId="6DD084AE" w14:textId="44C31651" w:rsidR="00393D9A" w:rsidRPr="003A23A9" w:rsidRDefault="00393D9A" w:rsidP="00393D9A">
            <w:pPr>
              <w:pStyle w:val="Default"/>
              <w:spacing w:line="360" w:lineRule="auto"/>
              <w:jc w:val="center"/>
              <w:rPr>
                <w:rFonts w:eastAsia="Times New Roman"/>
                <w:b/>
                <w:bCs/>
                <w:color w:val="auto"/>
              </w:rPr>
            </w:pPr>
            <w:r w:rsidRPr="003A23A9">
              <w:rPr>
                <w:rFonts w:eastAsia="Times New Roman"/>
                <w:color w:val="auto"/>
              </w:rPr>
              <w:t>R$ 75.960,00</w:t>
            </w:r>
          </w:p>
        </w:tc>
      </w:tr>
      <w:tr w:rsidR="00393D9A" w:rsidRPr="00EC7170" w14:paraId="4353A0D1" w14:textId="77777777" w:rsidTr="003A23A9">
        <w:trPr>
          <w:trHeight w:val="567"/>
        </w:trPr>
        <w:tc>
          <w:tcPr>
            <w:tcW w:w="441" w:type="pct"/>
            <w:vAlign w:val="center"/>
          </w:tcPr>
          <w:p w14:paraId="6EC0613A" w14:textId="7A4D5727" w:rsidR="00393D9A" w:rsidRPr="003A23A9" w:rsidRDefault="00393D9A" w:rsidP="001D56C1">
            <w:pPr>
              <w:pStyle w:val="Default"/>
              <w:spacing w:line="360" w:lineRule="auto"/>
              <w:jc w:val="center"/>
              <w:rPr>
                <w:color w:val="auto"/>
              </w:rPr>
            </w:pPr>
            <w:r w:rsidRPr="003A23A9">
              <w:rPr>
                <w:color w:val="auto"/>
              </w:rPr>
              <w:t>2</w:t>
            </w:r>
          </w:p>
        </w:tc>
        <w:tc>
          <w:tcPr>
            <w:tcW w:w="1397" w:type="pct"/>
            <w:vAlign w:val="center"/>
          </w:tcPr>
          <w:p w14:paraId="655EE4AE" w14:textId="1956749B" w:rsidR="00393D9A" w:rsidRPr="003A23A9" w:rsidRDefault="00393D9A" w:rsidP="001D56C1">
            <w:pPr>
              <w:pStyle w:val="Default"/>
              <w:spacing w:line="360" w:lineRule="auto"/>
              <w:rPr>
                <w:color w:val="auto"/>
              </w:rPr>
            </w:pPr>
            <w:r w:rsidRPr="003A23A9">
              <w:rPr>
                <w:rFonts w:eastAsia="Times New Roman"/>
                <w:color w:val="auto"/>
              </w:rPr>
              <w:t xml:space="preserve">Contratação de serviços de subscrição de 02 (duas) novas licenças, com suporte técnico (manutenção), por 36 (trinta e seis) meses, do pacote de Software </w:t>
            </w:r>
            <w:proofErr w:type="spellStart"/>
            <w:r w:rsidRPr="003A23A9">
              <w:rPr>
                <w:rFonts w:eastAsia="Times New Roman"/>
                <w:color w:val="auto"/>
              </w:rPr>
              <w:t>SuiteAutoDeskArchitectureEnginerringandConstructionCollection</w:t>
            </w:r>
            <w:proofErr w:type="spellEnd"/>
            <w:r w:rsidRPr="003A23A9">
              <w:rPr>
                <w:rFonts w:eastAsia="Times New Roman"/>
                <w:color w:val="auto"/>
              </w:rPr>
              <w:t xml:space="preserve"> – AEC COLLECTION, para uso, em adição às </w:t>
            </w:r>
            <w:r w:rsidRPr="003A23A9">
              <w:rPr>
                <w:rFonts w:eastAsia="Times New Roman"/>
                <w:color w:val="auto"/>
              </w:rPr>
              <w:lastRenderedPageBreak/>
              <w:t>licenças já existentes, pelo Conselho Nacional do Ministério Público - CNMP</w:t>
            </w:r>
          </w:p>
        </w:tc>
        <w:tc>
          <w:tcPr>
            <w:tcW w:w="1030" w:type="pct"/>
            <w:vAlign w:val="center"/>
          </w:tcPr>
          <w:p w14:paraId="0477D5BC" w14:textId="63E5757C" w:rsidR="00393D9A" w:rsidRPr="003A23A9" w:rsidRDefault="00393D9A" w:rsidP="001D56C1">
            <w:pPr>
              <w:pStyle w:val="Default"/>
              <w:spacing w:line="360" w:lineRule="auto"/>
              <w:jc w:val="center"/>
              <w:rPr>
                <w:color w:val="auto"/>
              </w:rPr>
            </w:pPr>
            <w:r w:rsidRPr="003A23A9">
              <w:rPr>
                <w:color w:val="auto"/>
              </w:rPr>
              <w:lastRenderedPageBreak/>
              <w:t>2</w:t>
            </w:r>
          </w:p>
        </w:tc>
        <w:tc>
          <w:tcPr>
            <w:tcW w:w="1029" w:type="pct"/>
            <w:vAlign w:val="center"/>
          </w:tcPr>
          <w:p w14:paraId="044F3DB4" w14:textId="0C49BA29" w:rsidR="00393D9A" w:rsidRPr="003A23A9" w:rsidRDefault="00393D9A" w:rsidP="00E4715E">
            <w:pPr>
              <w:pStyle w:val="Default"/>
              <w:spacing w:line="360" w:lineRule="auto"/>
              <w:jc w:val="center"/>
              <w:rPr>
                <w:color w:val="auto"/>
              </w:rPr>
            </w:pPr>
            <w:r w:rsidRPr="003A23A9">
              <w:rPr>
                <w:color w:val="auto"/>
              </w:rPr>
              <w:t>R$: 46.990,00</w:t>
            </w:r>
          </w:p>
        </w:tc>
        <w:tc>
          <w:tcPr>
            <w:tcW w:w="1103" w:type="pct"/>
            <w:vAlign w:val="center"/>
          </w:tcPr>
          <w:p w14:paraId="6EFEE2E7" w14:textId="4AC238FB" w:rsidR="00393D9A" w:rsidRPr="003A23A9" w:rsidRDefault="003A23A9" w:rsidP="009048AD">
            <w:pPr>
              <w:pStyle w:val="Default"/>
              <w:spacing w:line="360" w:lineRule="auto"/>
              <w:jc w:val="center"/>
              <w:rPr>
                <w:color w:val="auto"/>
              </w:rPr>
            </w:pPr>
            <w:r w:rsidRPr="003A23A9">
              <w:rPr>
                <w:color w:val="auto"/>
              </w:rPr>
              <w:t>R$: 93.980,00</w:t>
            </w:r>
          </w:p>
        </w:tc>
      </w:tr>
      <w:tr w:rsidR="003A23A9" w14:paraId="6E37D545" w14:textId="77777777" w:rsidTr="003A23A9">
        <w:trPr>
          <w:trHeight w:val="576"/>
        </w:trPr>
        <w:tc>
          <w:tcPr>
            <w:tcW w:w="3897" w:type="pct"/>
            <w:gridSpan w:val="4"/>
            <w:shd w:val="clear" w:color="auto" w:fill="BFBFBF" w:themeFill="background1" w:themeFillShade="BF"/>
          </w:tcPr>
          <w:p w14:paraId="05F98C63" w14:textId="6EFD9F8A" w:rsidR="003A23A9" w:rsidRPr="003A23A9" w:rsidRDefault="003A23A9" w:rsidP="00F73E59">
            <w:pPr>
              <w:pStyle w:val="Standard"/>
              <w:jc w:val="both"/>
              <w:rPr>
                <w:rFonts w:cs="Times New Roman"/>
                <w:b/>
                <w:bCs/>
              </w:rPr>
            </w:pPr>
            <w:r w:rsidRPr="003A23A9">
              <w:rPr>
                <w:rFonts w:cs="Times New Roman"/>
                <w:b/>
                <w:bCs/>
              </w:rPr>
              <w:t>VALOR TOTAL</w:t>
            </w:r>
          </w:p>
        </w:tc>
        <w:tc>
          <w:tcPr>
            <w:tcW w:w="1103" w:type="pct"/>
            <w:shd w:val="clear" w:color="auto" w:fill="BFBFBF" w:themeFill="background1" w:themeFillShade="BF"/>
          </w:tcPr>
          <w:p w14:paraId="518B75ED" w14:textId="7163B093" w:rsidR="003A23A9" w:rsidRPr="003A23A9" w:rsidRDefault="003A23A9" w:rsidP="00F73E59">
            <w:pPr>
              <w:pStyle w:val="Standard"/>
              <w:jc w:val="both"/>
              <w:rPr>
                <w:rFonts w:cs="Times New Roman"/>
                <w:b/>
                <w:bCs/>
              </w:rPr>
            </w:pPr>
            <w:r w:rsidRPr="003A23A9">
              <w:rPr>
                <w:rStyle w:val="Forte"/>
                <w:color w:val="000000"/>
              </w:rPr>
              <w:t>R$ 169.940,00</w:t>
            </w:r>
          </w:p>
        </w:tc>
      </w:tr>
    </w:tbl>
    <w:p w14:paraId="36245621" w14:textId="77777777" w:rsidR="003E4C75" w:rsidRPr="00B40E05" w:rsidRDefault="003E4C75" w:rsidP="00F73E59">
      <w:pPr>
        <w:pStyle w:val="Standard"/>
        <w:jc w:val="both"/>
        <w:rPr>
          <w:rFonts w:cs="Times New Roman"/>
          <w:b/>
          <w:bCs/>
          <w:sz w:val="24"/>
          <w:szCs w:val="24"/>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7E2064BF"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B537FA">
        <w:rPr>
          <w:rFonts w:ascii="Times New Roman" w:hAnsi="Times New Roman" w:cs="Times New Roman"/>
          <w:sz w:val="24"/>
          <w:szCs w:val="24"/>
        </w:rPr>
        <w:t>o</w:t>
      </w:r>
      <w:r w:rsidR="00292837" w:rsidRPr="00041761">
        <w:rPr>
          <w:rFonts w:ascii="Times New Roman" w:hAnsi="Times New Roman" w:cs="Times New Roman"/>
          <w:sz w:val="24"/>
          <w:szCs w:val="24"/>
        </w:rPr>
        <w:t xml:space="preserve"> fornecimento</w:t>
      </w:r>
      <w:r w:rsidR="00B537FA">
        <w:rPr>
          <w:rFonts w:ascii="Times New Roman" w:hAnsi="Times New Roman" w:cs="Times New Roman"/>
          <w:sz w:val="24"/>
          <w:szCs w:val="24"/>
        </w:rPr>
        <w:t xml:space="preserve"> do </w:t>
      </w:r>
      <w:r w:rsidR="00292837" w:rsidRPr="00041761">
        <w:rPr>
          <w:rFonts w:ascii="Times New Roman" w:hAnsi="Times New Roman" w:cs="Times New Roman"/>
          <w:sz w:val="24"/>
          <w:szCs w:val="24"/>
        </w:rPr>
        <w:t>serviço</w:t>
      </w:r>
      <w:r w:rsidR="00B537FA">
        <w:rPr>
          <w:rFonts w:ascii="Times New Roman" w:hAnsi="Times New Roman" w:cs="Times New Roman"/>
          <w:sz w:val="24"/>
          <w:szCs w:val="24"/>
        </w:rPr>
        <w:t xml:space="preserve"> ou software</w:t>
      </w:r>
      <w:r w:rsidR="00CF3FBB">
        <w:rPr>
          <w:rFonts w:ascii="Times New Roman" w:hAnsi="Times New Roman" w:cs="Times New Roman"/>
          <w:sz w:val="24"/>
          <w:szCs w:val="24"/>
        </w:rPr>
        <w:t xml:space="preserve"> de tarifação telefônica conforme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AC5CF0">
        <w:rPr>
          <w:rFonts w:ascii="Times New Roman" w:hAnsi="Times New Roman" w:cs="Times New Roman"/>
          <w:sz w:val="24"/>
          <w:szCs w:val="24"/>
        </w:rPr>
        <w:t>19</w:t>
      </w:r>
      <w:r w:rsidR="00292837" w:rsidRPr="00041761">
        <w:rPr>
          <w:rFonts w:ascii="Times New Roman" w:hAnsi="Times New Roman" w:cs="Times New Roman"/>
          <w:sz w:val="24"/>
          <w:szCs w:val="24"/>
        </w:rPr>
        <w:t xml:space="preserve"> – Critérios de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lastRenderedPageBreak/>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041761">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23AB652B"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lastRenderedPageBreak/>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1D6BAD">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84600F">
        <w:rPr>
          <w:rStyle w:val="Fontepargpadro1"/>
          <w:rFonts w:eastAsia="Times New Roman" w:cs="Times New Roman"/>
          <w:sz w:val="24"/>
          <w:szCs w:val="24"/>
        </w:rPr>
        <w:t>,</w:t>
      </w:r>
      <w:r w:rsidR="0084600F" w:rsidRPr="0084600F">
        <w:rPr>
          <w:sz w:val="24"/>
          <w:szCs w:val="24"/>
        </w:rPr>
        <w:t xml:space="preserve"> </w:t>
      </w:r>
      <w:r w:rsidR="0084600F" w:rsidRPr="00251725">
        <w:rPr>
          <w:sz w:val="24"/>
          <w:szCs w:val="24"/>
        </w:rPr>
        <w:t>alterada pela Portaria CNMP-SG nº 160/2022</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0B6FB88C"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C5CF0">
        <w:rPr>
          <w:rFonts w:ascii="Times New Roman" w:hAnsi="Times New Roman" w:cs="Times New Roman"/>
          <w:sz w:val="24"/>
          <w:szCs w:val="24"/>
        </w:rPr>
        <w:t>17</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w:t>
      </w:r>
      <w:r w:rsidR="00AC5CF0">
        <w:rPr>
          <w:rFonts w:ascii="Times New Roman" w:hAnsi="Times New Roman" w:cs="Times New Roman"/>
          <w:sz w:val="24"/>
          <w:szCs w:val="24"/>
        </w:rPr>
        <w:t>e 18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6880A0DA" w14:textId="2F16F1F9" w:rsidR="00E75642" w:rsidRPr="00041761" w:rsidRDefault="00E75642" w:rsidP="00914A88">
      <w:pPr>
        <w:pStyle w:val="Standard"/>
        <w:shd w:val="clear" w:color="auto" w:fill="C0C0C0"/>
        <w:spacing w:line="360" w:lineRule="auto"/>
        <w:ind w:firstLine="1417"/>
        <w:jc w:val="both"/>
        <w:rPr>
          <w:rFonts w:cs="Times New Roman"/>
          <w:b/>
          <w:sz w:val="24"/>
          <w:szCs w:val="24"/>
        </w:rPr>
      </w:pPr>
      <w:r w:rsidRPr="000649D6">
        <w:rPr>
          <w:rFonts w:cs="Times New Roman"/>
          <w:b/>
          <w:sz w:val="24"/>
          <w:szCs w:val="24"/>
        </w:rPr>
        <w:t xml:space="preserve">13– </w:t>
      </w:r>
      <w:r w:rsidR="00914A88" w:rsidRPr="00041761">
        <w:rPr>
          <w:rFonts w:cs="Times New Roman"/>
          <w:b/>
          <w:sz w:val="22"/>
          <w:szCs w:val="22"/>
        </w:rPr>
        <w:t>DA ASSINATURA DO CONTRATO</w:t>
      </w:r>
    </w:p>
    <w:p w14:paraId="0E962040" w14:textId="77777777" w:rsidR="004A68B2"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r>
    </w:p>
    <w:p w14:paraId="29A7B299" w14:textId="462DA4D5" w:rsidR="00E75642" w:rsidRPr="00041761" w:rsidRDefault="004A68B2" w:rsidP="00E75642">
      <w:pPr>
        <w:pStyle w:val="Standard"/>
        <w:spacing w:line="360" w:lineRule="auto"/>
        <w:jc w:val="both"/>
        <w:rPr>
          <w:rFonts w:cs="Times New Roman"/>
          <w:sz w:val="24"/>
          <w:szCs w:val="24"/>
        </w:rPr>
      </w:pPr>
      <w:r>
        <w:rPr>
          <w:rFonts w:cs="Times New Roman"/>
          <w:sz w:val="24"/>
          <w:szCs w:val="24"/>
        </w:rPr>
        <w:t xml:space="preserve">                        </w:t>
      </w:r>
      <w:r w:rsidR="00E75642" w:rsidRPr="00041761">
        <w:rPr>
          <w:rFonts w:cs="Times New Roman"/>
          <w:sz w:val="24"/>
          <w:szCs w:val="24"/>
        </w:rPr>
        <w:t>13.</w:t>
      </w:r>
      <w:r w:rsidR="00AC5CF0">
        <w:rPr>
          <w:rFonts w:cs="Times New Roman"/>
          <w:sz w:val="24"/>
          <w:szCs w:val="24"/>
        </w:rPr>
        <w:t xml:space="preserve">1 </w:t>
      </w:r>
      <w:r w:rsidR="00AC5CF0" w:rsidRPr="00AC5CF0">
        <w:rPr>
          <w:rFonts w:cs="Times New Roman"/>
          <w:sz w:val="24"/>
          <w:szCs w:val="24"/>
        </w:rPr>
        <w:t>O contrato terá vigência por 36 (</w:t>
      </w:r>
      <w:r w:rsidR="00AC5CF0">
        <w:rPr>
          <w:rFonts w:cs="Times New Roman"/>
          <w:sz w:val="24"/>
          <w:szCs w:val="24"/>
        </w:rPr>
        <w:t>trinta e seis</w:t>
      </w:r>
      <w:r w:rsidR="00AC5CF0" w:rsidRPr="00AC5CF0">
        <w:rPr>
          <w:rFonts w:cs="Times New Roman"/>
          <w:sz w:val="24"/>
          <w:szCs w:val="24"/>
        </w:rPr>
        <w:t>) meses, contados a partir da data d</w:t>
      </w:r>
      <w:r>
        <w:rPr>
          <w:rFonts w:cs="Times New Roman"/>
          <w:sz w:val="24"/>
          <w:szCs w:val="24"/>
        </w:rPr>
        <w:t>a sua assinatura,</w:t>
      </w:r>
      <w:r w:rsidR="00AC5CF0" w:rsidRPr="00AC5CF0">
        <w:rPr>
          <w:rFonts w:cs="Times New Roman"/>
          <w:sz w:val="24"/>
          <w:szCs w:val="24"/>
        </w:rPr>
        <w:t xml:space="preserve"> não podendo ser prorrogado</w:t>
      </w:r>
      <w:r w:rsidR="00AC5CF0">
        <w:rPr>
          <w:rFonts w:cs="Times New Roman"/>
          <w:sz w:val="24"/>
          <w:szCs w:val="24"/>
        </w:rPr>
        <w:t>.</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w:t>
      </w:r>
      <w:r w:rsidRPr="00041761">
        <w:rPr>
          <w:rFonts w:cs="Times New Roman"/>
          <w:sz w:val="24"/>
          <w:szCs w:val="24"/>
        </w:rPr>
        <w:lastRenderedPageBreak/>
        <w:t>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37B374A4" w14:textId="529189A2" w:rsidR="00E75642" w:rsidRDefault="00E75642" w:rsidP="00E42098">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xml:space="preserve">. 77 e 78, na forma </w:t>
      </w:r>
      <w:r w:rsidR="00E42098">
        <w:rPr>
          <w:rFonts w:cs="Times New Roman"/>
          <w:sz w:val="24"/>
          <w:szCs w:val="24"/>
        </w:rPr>
        <w:t>do art. 79, da Lei nº 8.666/93.</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lastRenderedPageBreak/>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41FF925" w14:textId="1E4DADB5" w:rsidR="003D39D9" w:rsidRPr="00C275FA" w:rsidRDefault="006163E8" w:rsidP="005A3572">
      <w:pPr>
        <w:pStyle w:val="Default"/>
        <w:suppressAutoHyphens w:val="0"/>
        <w:autoSpaceDE w:val="0"/>
        <w:autoSpaceDN w:val="0"/>
        <w:adjustRightInd w:val="0"/>
        <w:spacing w:line="360" w:lineRule="auto"/>
        <w:ind w:left="709" w:firstLine="709"/>
        <w:jc w:val="both"/>
        <w:textAlignment w:val="auto"/>
        <w:rPr>
          <w:color w:val="auto"/>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5A3572" w:rsidRPr="679E79CE">
        <w:rPr>
          <w:color w:val="auto"/>
        </w:rPr>
        <w:t>Os recursos dessa contratação estão consignados no orçamento da União para 20</w:t>
      </w:r>
      <w:r w:rsidR="005A3572">
        <w:rPr>
          <w:color w:val="auto"/>
        </w:rPr>
        <w:t>22</w:t>
      </w:r>
      <w:r w:rsidR="005A3572" w:rsidRPr="679E79CE">
        <w:rPr>
          <w:color w:val="auto"/>
        </w:rPr>
        <w:t>, no Plano Interno</w:t>
      </w:r>
      <w:r w:rsidR="005A3572" w:rsidRPr="00F76E9C">
        <w:rPr>
          <w:color w:val="auto"/>
        </w:rPr>
        <w:t>A_COENG</w:t>
      </w:r>
      <w:r w:rsidR="005A3572">
        <w:rPr>
          <w:color w:val="auto"/>
        </w:rPr>
        <w:t>.23.</w:t>
      </w:r>
      <w:r w:rsidR="005A3572" w:rsidRPr="00F76E9C">
        <w:rPr>
          <w:color w:val="auto"/>
        </w:rPr>
        <w:t>00</w:t>
      </w:r>
      <w:r w:rsidR="005A3572" w:rsidRPr="679E79CE">
        <w:rPr>
          <w:color w:val="auto"/>
        </w:rPr>
        <w:t xml:space="preserve">, PTRES </w:t>
      </w:r>
      <w:r w:rsidR="005A3572">
        <w:rPr>
          <w:color w:val="auto"/>
        </w:rPr>
        <w:t xml:space="preserve">174664, </w:t>
      </w:r>
      <w:r w:rsidR="005A3572" w:rsidRPr="00237B05">
        <w:rPr>
          <w:color w:val="auto"/>
        </w:rPr>
        <w:t>UGR - Unidade Gestora Responsável</w:t>
      </w:r>
      <w:r w:rsidR="005A3572">
        <w:rPr>
          <w:color w:val="auto"/>
        </w:rPr>
        <w:t xml:space="preserve">: </w:t>
      </w:r>
      <w:r w:rsidR="005A3572" w:rsidRPr="00237B05">
        <w:rPr>
          <w:color w:val="auto"/>
        </w:rPr>
        <w:t>593401</w:t>
      </w:r>
      <w:r w:rsidR="005A3572">
        <w:rPr>
          <w:color w:val="auto"/>
        </w:rPr>
        <w:t>;</w:t>
      </w:r>
      <w:r w:rsidR="005A3572" w:rsidRPr="679E79CE">
        <w:rPr>
          <w:color w:val="auto"/>
        </w:rPr>
        <w:t xml:space="preserve"> e Natureza</w:t>
      </w:r>
      <w:r w:rsidR="00133B10">
        <w:rPr>
          <w:color w:val="auto"/>
        </w:rPr>
        <w:t xml:space="preserve"> </w:t>
      </w:r>
      <w:r w:rsidR="005A3572" w:rsidRPr="679E79CE">
        <w:rPr>
          <w:color w:val="auto"/>
        </w:rPr>
        <w:t xml:space="preserve">de Despesa </w:t>
      </w:r>
      <w:r w:rsidR="005A3572" w:rsidRPr="007C6B3A">
        <w:rPr>
          <w:color w:val="auto"/>
        </w:rPr>
        <w:t>33.90.40</w:t>
      </w:r>
      <w:r w:rsidR="005A3572">
        <w:rPr>
          <w:color w:val="auto"/>
        </w:rPr>
        <w:t xml:space="preserve"> - s</w:t>
      </w:r>
      <w:r w:rsidR="005A3572" w:rsidRPr="0024743E">
        <w:rPr>
          <w:color w:val="auto"/>
        </w:rPr>
        <w:t>ubelemento 0</w:t>
      </w:r>
      <w:r w:rsidR="005A3572">
        <w:rPr>
          <w:color w:val="auto"/>
        </w:rPr>
        <w:t>6</w:t>
      </w:r>
      <w:r w:rsidR="005A3572" w:rsidRPr="0024743E">
        <w:rPr>
          <w:color w:val="auto"/>
        </w:rPr>
        <w:t xml:space="preserve"> –</w:t>
      </w:r>
      <w:r w:rsidR="005A3572" w:rsidRPr="00237B05">
        <w:rPr>
          <w:color w:val="auto"/>
        </w:rPr>
        <w:t>LOCA</w:t>
      </w:r>
      <w:r w:rsidR="005A3572">
        <w:rPr>
          <w:color w:val="auto"/>
        </w:rPr>
        <w:t>ÇÃO</w:t>
      </w:r>
      <w:r w:rsidR="005A3572" w:rsidRPr="00237B05">
        <w:rPr>
          <w:color w:val="auto"/>
        </w:rPr>
        <w:t xml:space="preserve"> DE SOFTWARES</w:t>
      </w:r>
      <w:r w:rsidR="005A3572">
        <w:rPr>
          <w:color w:val="auto"/>
        </w:rPr>
        <w:t>.</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036F23A2"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w:t>
      </w:r>
      <w:r w:rsidR="00133B10">
        <w:rPr>
          <w:rFonts w:eastAsia="Arial" w:cs="Times New Roman"/>
          <w:bCs/>
          <w:sz w:val="24"/>
          <w:szCs w:val="24"/>
        </w:rPr>
        <w:t>6</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006163E8" w:rsidRPr="00041761">
        <w:rPr>
          <w:rFonts w:cs="Times New Roman"/>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 xml:space="preserve">.9, das eventuais republicações e/ou retificações de Edital, respostas a questionamentos e impugnações ou quaisquer </w:t>
      </w:r>
      <w:r w:rsidR="006163E8" w:rsidRPr="00041761">
        <w:rPr>
          <w:rFonts w:cs="Times New Roman"/>
          <w:sz w:val="24"/>
          <w:szCs w:val="24"/>
        </w:rPr>
        <w:lastRenderedPageBreak/>
        <w:t>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0B09F94C" w14:textId="3FFE9F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E0208F">
        <w:rPr>
          <w:rFonts w:cs="Times New Roman"/>
          <w:b/>
          <w:sz w:val="24"/>
          <w:szCs w:val="24"/>
          <w:u w:val="single"/>
        </w:rPr>
        <w:t>11</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63E6B172"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E0208F" w:rsidRPr="00E0208F">
        <w:rPr>
          <w:rFonts w:cs="Times New Roman"/>
          <w:b/>
          <w:sz w:val="24"/>
          <w:szCs w:val="24"/>
          <w:u w:val="single"/>
        </w:rPr>
        <w:t>19.00.6160.0003047/2022-42</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661D28DE" w14:textId="77777777" w:rsidR="00CA77AD" w:rsidRPr="00C275FA" w:rsidRDefault="00CA77AD" w:rsidP="00CA77AD">
      <w:pPr>
        <w:pStyle w:val="Default"/>
        <w:spacing w:line="360" w:lineRule="auto"/>
        <w:ind w:firstLine="709"/>
        <w:jc w:val="center"/>
        <w:rPr>
          <w:color w:val="auto"/>
        </w:rPr>
      </w:pPr>
    </w:p>
    <w:p w14:paraId="239EA3F0" w14:textId="77777777" w:rsidR="00E0208F" w:rsidRPr="00C275FA" w:rsidRDefault="00E0208F" w:rsidP="00E0208F">
      <w:pPr>
        <w:pStyle w:val="Default"/>
        <w:spacing w:line="360" w:lineRule="auto"/>
        <w:ind w:firstLine="709"/>
        <w:jc w:val="center"/>
        <w:rPr>
          <w:color w:val="auto"/>
        </w:rPr>
      </w:pPr>
    </w:p>
    <w:p w14:paraId="1803F6F2"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OBJETO</w:t>
      </w:r>
    </w:p>
    <w:p w14:paraId="6B2563B3" w14:textId="77777777" w:rsidR="00E0208F" w:rsidRDefault="00E0208F" w:rsidP="00B70C63">
      <w:pPr>
        <w:pStyle w:val="PargrafodaLista"/>
        <w:numPr>
          <w:ilvl w:val="1"/>
          <w:numId w:val="37"/>
        </w:numPr>
        <w:suppressAutoHyphens w:val="0"/>
        <w:spacing w:after="200" w:line="360" w:lineRule="auto"/>
        <w:ind w:left="788" w:hanging="431"/>
        <w:contextualSpacing/>
        <w:jc w:val="both"/>
        <w:textAlignment w:val="auto"/>
        <w:rPr>
          <w:rFonts w:eastAsia="Times New Roman" w:cs="Times New Roman"/>
          <w:sz w:val="24"/>
          <w:szCs w:val="24"/>
        </w:rPr>
      </w:pPr>
      <w:r w:rsidRPr="00CD68A2">
        <w:rPr>
          <w:rFonts w:eastAsia="Times New Roman" w:cs="Times New Roman"/>
          <w:sz w:val="24"/>
          <w:szCs w:val="24"/>
        </w:rPr>
        <w:t>Contratação de serviços com suporte técnico</w:t>
      </w:r>
      <w:r>
        <w:rPr>
          <w:rFonts w:eastAsia="Times New Roman" w:cs="Times New Roman"/>
          <w:sz w:val="24"/>
          <w:szCs w:val="24"/>
        </w:rPr>
        <w:t xml:space="preserve"> (manutenção)</w:t>
      </w:r>
      <w:r w:rsidRPr="00CD68A2">
        <w:rPr>
          <w:rFonts w:eastAsia="Times New Roman" w:cs="Times New Roman"/>
          <w:sz w:val="24"/>
          <w:szCs w:val="24"/>
        </w:rPr>
        <w:t xml:space="preserve">, por 36 (trinta e seis) </w:t>
      </w:r>
      <w:proofErr w:type="spellStart"/>
      <w:proofErr w:type="gramStart"/>
      <w:r w:rsidRPr="00CD68A2">
        <w:rPr>
          <w:rFonts w:eastAsia="Times New Roman" w:cs="Times New Roman"/>
          <w:sz w:val="24"/>
          <w:szCs w:val="24"/>
        </w:rPr>
        <w:t>meses,do</w:t>
      </w:r>
      <w:proofErr w:type="spellEnd"/>
      <w:proofErr w:type="gramEnd"/>
      <w:r w:rsidRPr="00CD68A2">
        <w:rPr>
          <w:rFonts w:eastAsia="Times New Roman" w:cs="Times New Roman"/>
          <w:sz w:val="24"/>
          <w:szCs w:val="24"/>
        </w:rPr>
        <w:t xml:space="preserve"> </w:t>
      </w:r>
      <w:r>
        <w:rPr>
          <w:rFonts w:eastAsia="Times New Roman" w:cs="Times New Roman"/>
          <w:sz w:val="24"/>
          <w:szCs w:val="24"/>
        </w:rPr>
        <w:t xml:space="preserve">pacote de </w:t>
      </w:r>
      <w:r w:rsidRPr="00CB0389">
        <w:rPr>
          <w:rFonts w:eastAsia="Times New Roman" w:cs="Times New Roman"/>
          <w:i/>
          <w:iCs/>
          <w:sz w:val="24"/>
          <w:szCs w:val="24"/>
        </w:rPr>
        <w:t>SoftwareSuiteAutoDeskArchitectureEnginerringandConstructionCollection – AEC COLLECTION</w:t>
      </w:r>
      <w:r>
        <w:rPr>
          <w:rFonts w:eastAsia="Times New Roman" w:cs="Times New Roman"/>
          <w:sz w:val="24"/>
          <w:szCs w:val="24"/>
        </w:rPr>
        <w:t xml:space="preserve">, já em uso pelo Conselho Nacional do Ministério Público – CNMP, sendo: renovação </w:t>
      </w:r>
      <w:r w:rsidRPr="00CD68A2">
        <w:rPr>
          <w:rFonts w:eastAsia="Times New Roman" w:cs="Times New Roman"/>
          <w:sz w:val="24"/>
          <w:szCs w:val="24"/>
        </w:rPr>
        <w:t>d</w:t>
      </w:r>
      <w:r>
        <w:rPr>
          <w:rFonts w:eastAsia="Times New Roman" w:cs="Times New Roman"/>
          <w:sz w:val="24"/>
          <w:szCs w:val="24"/>
        </w:rPr>
        <w:t>a subscrição de0</w:t>
      </w:r>
      <w:r w:rsidRPr="00CD68A2">
        <w:rPr>
          <w:rFonts w:eastAsia="Times New Roman" w:cs="Times New Roman"/>
          <w:sz w:val="24"/>
          <w:szCs w:val="24"/>
        </w:rPr>
        <w:t>4 (quatro) licenças</w:t>
      </w:r>
      <w:r>
        <w:rPr>
          <w:rFonts w:eastAsia="Times New Roman" w:cs="Times New Roman"/>
          <w:sz w:val="24"/>
          <w:szCs w:val="24"/>
        </w:rPr>
        <w:t xml:space="preserve">, conforme condições comerciais relacionadas ao Contrato AUTODESK nº </w:t>
      </w:r>
      <w:r w:rsidRPr="004D56C2">
        <w:rPr>
          <w:rFonts w:eastAsia="Times New Roman" w:cs="Times New Roman"/>
          <w:sz w:val="24"/>
          <w:szCs w:val="24"/>
        </w:rPr>
        <w:t>110002804049</w:t>
      </w:r>
      <w:r>
        <w:rPr>
          <w:rFonts w:eastAsia="Times New Roman" w:cs="Times New Roman"/>
          <w:sz w:val="24"/>
          <w:szCs w:val="24"/>
        </w:rPr>
        <w:t xml:space="preserve">; e subscrição de </w:t>
      </w:r>
      <w:r w:rsidRPr="006B1D33">
        <w:rPr>
          <w:rFonts w:eastAsia="Times New Roman" w:cs="Times New Roman"/>
          <w:sz w:val="24"/>
          <w:szCs w:val="24"/>
        </w:rPr>
        <w:t>02 (duas) novas licenças</w:t>
      </w:r>
      <w:r>
        <w:rPr>
          <w:rFonts w:eastAsia="Times New Roman" w:cs="Times New Roman"/>
          <w:sz w:val="24"/>
          <w:szCs w:val="24"/>
        </w:rPr>
        <w:t>.</w:t>
      </w:r>
    </w:p>
    <w:p w14:paraId="146EB64D" w14:textId="77777777" w:rsidR="00E0208F" w:rsidRPr="00C275FA" w:rsidRDefault="00E0208F" w:rsidP="00E0208F">
      <w:pPr>
        <w:pStyle w:val="Default"/>
        <w:spacing w:line="360" w:lineRule="auto"/>
        <w:ind w:firstLine="709"/>
        <w:jc w:val="both"/>
        <w:rPr>
          <w:color w:val="auto"/>
        </w:rPr>
      </w:pPr>
    </w:p>
    <w:p w14:paraId="76546D94"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 xml:space="preserve"> JUSTIFICATIVA</w:t>
      </w:r>
      <w:r>
        <w:rPr>
          <w:b/>
          <w:bCs/>
          <w:color w:val="auto"/>
        </w:rPr>
        <w:t xml:space="preserve"> E ALINHAMENTO COM O PLANEJAMENTO ESTRATÉGICO</w:t>
      </w:r>
    </w:p>
    <w:p w14:paraId="1FFCBD28" w14:textId="77777777" w:rsidR="00E0208F" w:rsidRPr="00B70C63"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szCs w:val="24"/>
        </w:rPr>
      </w:pPr>
      <w:r w:rsidRPr="00B70C63">
        <w:rPr>
          <w:color w:val="auto"/>
          <w:szCs w:val="24"/>
        </w:rPr>
        <w:t xml:space="preserve">A presente contratação está atrelada à ação CNMP_PG_22_COENG_023 – Renovação de subscrições do Software de </w:t>
      </w:r>
      <w:proofErr w:type="gramStart"/>
      <w:r w:rsidRPr="00B70C63">
        <w:rPr>
          <w:color w:val="auto"/>
          <w:szCs w:val="24"/>
        </w:rPr>
        <w:t xml:space="preserve">CAD </w:t>
      </w:r>
      <w:r w:rsidRPr="00B70C63">
        <w:rPr>
          <w:bCs/>
          <w:szCs w:val="24"/>
        </w:rPr>
        <w:t xml:space="preserve"> (</w:t>
      </w:r>
      <w:proofErr w:type="gramEnd"/>
      <w:r w:rsidRPr="00B70C63">
        <w:rPr>
          <w:bCs/>
          <w:i/>
          <w:iCs/>
          <w:szCs w:val="24"/>
        </w:rPr>
        <w:t>Computer-</w:t>
      </w:r>
      <w:proofErr w:type="spellStart"/>
      <w:r w:rsidRPr="00B70C63">
        <w:rPr>
          <w:bCs/>
          <w:i/>
          <w:iCs/>
          <w:szCs w:val="24"/>
        </w:rPr>
        <w:t>Aided</w:t>
      </w:r>
      <w:proofErr w:type="spellEnd"/>
      <w:r w:rsidRPr="00B70C63">
        <w:rPr>
          <w:bCs/>
          <w:i/>
          <w:iCs/>
          <w:szCs w:val="24"/>
        </w:rPr>
        <w:t xml:space="preserve"> Design</w:t>
      </w:r>
      <w:r w:rsidRPr="00B70C63">
        <w:rPr>
          <w:bCs/>
          <w:szCs w:val="24"/>
        </w:rPr>
        <w:t xml:space="preserve"> - Desenho Assistido por Computador) </w:t>
      </w:r>
      <w:r w:rsidRPr="00B70C63">
        <w:rPr>
          <w:color w:val="auto"/>
          <w:szCs w:val="24"/>
        </w:rPr>
        <w:t>e BIM</w:t>
      </w:r>
      <w:r w:rsidRPr="00B70C63">
        <w:rPr>
          <w:bCs/>
          <w:szCs w:val="24"/>
        </w:rPr>
        <w:t>(</w:t>
      </w:r>
      <w:r w:rsidRPr="00B70C63">
        <w:rPr>
          <w:bCs/>
          <w:i/>
          <w:iCs/>
          <w:szCs w:val="24"/>
        </w:rPr>
        <w:t xml:space="preserve">Building </w:t>
      </w:r>
      <w:proofErr w:type="spellStart"/>
      <w:r w:rsidRPr="00B70C63">
        <w:rPr>
          <w:bCs/>
          <w:i/>
          <w:iCs/>
          <w:szCs w:val="24"/>
        </w:rPr>
        <w:t>InformationModeling</w:t>
      </w:r>
      <w:proofErr w:type="spellEnd"/>
      <w:r w:rsidRPr="00B70C63">
        <w:rPr>
          <w:bCs/>
          <w:szCs w:val="24"/>
        </w:rPr>
        <w:t xml:space="preserve"> - Modelagem de Informações da Construção)</w:t>
      </w:r>
      <w:r w:rsidRPr="00B70C63">
        <w:rPr>
          <w:color w:val="auto"/>
          <w:szCs w:val="24"/>
        </w:rPr>
        <w:t>, presente no Plano de Gestão para o exercício de 2022.</w:t>
      </w:r>
    </w:p>
    <w:p w14:paraId="3DF15AB5"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B70C63">
        <w:rPr>
          <w:color w:val="auto"/>
          <w:szCs w:val="24"/>
        </w:rPr>
        <w:t>As principais ferramentas incluídas no pacote, como as que suportam CAD e BIM, já adquiridas pelo CNMP, são amplamente utilizadas na execução de projetos de alterações de layout de divisórias, mobiliários, manutenção dos arquivos "As-</w:t>
      </w:r>
      <w:proofErr w:type="spellStart"/>
      <w:r w:rsidRPr="00B70C63">
        <w:rPr>
          <w:color w:val="auto"/>
          <w:szCs w:val="24"/>
        </w:rPr>
        <w:t>Built</w:t>
      </w:r>
      <w:proofErr w:type="spellEnd"/>
      <w:r w:rsidRPr="00B70C63">
        <w:rPr>
          <w:color w:val="auto"/>
          <w:szCs w:val="24"/>
        </w:rPr>
        <w:t>" dos projetos em CAD da edificação, possibilitam modelagem em BIM dos ambientes, bem como na elaboração de projetos visando a implementação de melhorias na edificação ocupada, bem como no projeto de novas edificações</w:t>
      </w:r>
      <w:r w:rsidRPr="00596A06">
        <w:rPr>
          <w:color w:val="auto"/>
        </w:rPr>
        <w:t xml:space="preserve">, sendo, posteriormente, compartilhados com </w:t>
      </w:r>
      <w:r>
        <w:rPr>
          <w:color w:val="auto"/>
        </w:rPr>
        <w:t xml:space="preserve">parceiros, com </w:t>
      </w:r>
      <w:r w:rsidRPr="00596A06">
        <w:rPr>
          <w:color w:val="auto"/>
        </w:rPr>
        <w:t xml:space="preserve">o mercado, ou empresas prestadoras de </w:t>
      </w:r>
      <w:r w:rsidRPr="00596A06">
        <w:rPr>
          <w:color w:val="auto"/>
        </w:rPr>
        <w:lastRenderedPageBreak/>
        <w:t xml:space="preserve">serviço, por ocasião da </w:t>
      </w:r>
      <w:r>
        <w:rPr>
          <w:color w:val="auto"/>
        </w:rPr>
        <w:t xml:space="preserve">elaboração conjunta de projetos, da </w:t>
      </w:r>
      <w:r w:rsidRPr="00596A06">
        <w:rPr>
          <w:color w:val="auto"/>
        </w:rPr>
        <w:t>realização de licitações e da execução d</w:t>
      </w:r>
      <w:r>
        <w:rPr>
          <w:color w:val="auto"/>
        </w:rPr>
        <w:t>as obras e dos</w:t>
      </w:r>
      <w:r w:rsidRPr="00596A06">
        <w:rPr>
          <w:color w:val="auto"/>
        </w:rPr>
        <w:t xml:space="preserve"> serviços propriamente ditos.</w:t>
      </w:r>
    </w:p>
    <w:p w14:paraId="6F31ADEA"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596A06">
        <w:rPr>
          <w:color w:val="auto"/>
        </w:rPr>
        <w:t xml:space="preserve">Cabe salientar que os softwares de CAD e de BIM da Autodesk, denominados comercialmente AutoCAD e </w:t>
      </w:r>
      <w:proofErr w:type="spellStart"/>
      <w:r w:rsidRPr="00596A06">
        <w:rPr>
          <w:color w:val="auto"/>
        </w:rPr>
        <w:t>Revit</w:t>
      </w:r>
      <w:proofErr w:type="spellEnd"/>
      <w:r w:rsidRPr="00596A06">
        <w:rPr>
          <w:color w:val="auto"/>
        </w:rPr>
        <w:t>,</w:t>
      </w:r>
      <w:r>
        <w:rPr>
          <w:color w:val="auto"/>
        </w:rPr>
        <w:t xml:space="preserve"> entre outros produtos que integram o pacote em </w:t>
      </w:r>
      <w:proofErr w:type="spellStart"/>
      <w:r>
        <w:rPr>
          <w:color w:val="auto"/>
        </w:rPr>
        <w:t>questão,são</w:t>
      </w:r>
      <w:proofErr w:type="spellEnd"/>
      <w:r>
        <w:rPr>
          <w:color w:val="auto"/>
        </w:rPr>
        <w:t xml:space="preserve"> </w:t>
      </w:r>
      <w:r w:rsidRPr="00596A06">
        <w:rPr>
          <w:color w:val="auto"/>
        </w:rPr>
        <w:t xml:space="preserve">amplamente utilizados pelo meio técnico na elaboração de projetos de engenharia e de arquitetura, sendo considerados referências do mercado, sendo por esse motivo, necessário garantirmos a compatibilidade com </w:t>
      </w:r>
      <w:r>
        <w:rPr>
          <w:color w:val="auto"/>
        </w:rPr>
        <w:t xml:space="preserve">os modelos digitais já desenvolvidos no âmbito do CNMP, bem como o de propiciar a compatibilidade com </w:t>
      </w:r>
      <w:r w:rsidRPr="00596A06">
        <w:rPr>
          <w:color w:val="auto"/>
        </w:rPr>
        <w:t>as versões utilizadas pelas empresas de engenharia e de arquitetura</w:t>
      </w:r>
      <w:r>
        <w:rPr>
          <w:color w:val="auto"/>
        </w:rPr>
        <w:t xml:space="preserve"> do mercado</w:t>
      </w:r>
      <w:r w:rsidRPr="00596A06">
        <w:rPr>
          <w:color w:val="auto"/>
        </w:rPr>
        <w:t>, as quais, obviamente, tendem a acompanhar os produtos mais recentes</w:t>
      </w:r>
      <w:r>
        <w:rPr>
          <w:color w:val="auto"/>
        </w:rPr>
        <w:t xml:space="preserve"> em suas versões mais recentes</w:t>
      </w:r>
      <w:r w:rsidRPr="00596A06">
        <w:rPr>
          <w:color w:val="auto"/>
        </w:rPr>
        <w:t>, bem como contemplar as inovações disponíveis nessas versões</w:t>
      </w:r>
      <w:r>
        <w:rPr>
          <w:color w:val="auto"/>
        </w:rPr>
        <w:t>. Situação que apresenta grandes ganhos para o compartilhamento e na compatibilização das informações dos modelos digitais utilizando os arquivos de dados nativos das ferramentas utilizadas.</w:t>
      </w:r>
    </w:p>
    <w:p w14:paraId="5FE9D3E1" w14:textId="77777777" w:rsidR="00E0208F" w:rsidRPr="00596A06"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796237">
        <w:rPr>
          <w:color w:val="auto"/>
        </w:rPr>
        <w:t xml:space="preserve">Além disso, por mais que reproduzam os seus recursos e o padrão de metadados utilizados nos arquivos gravados, não há garantias da total compatibilidade dos outros aplicativos disponíveis no mercado que elaboram projetos com os arquivos gerados pelo suíte do </w:t>
      </w:r>
      <w:proofErr w:type="spellStart"/>
      <w:r w:rsidRPr="00796237">
        <w:rPr>
          <w:color w:val="auto"/>
        </w:rPr>
        <w:t>AutoDesk</w:t>
      </w:r>
      <w:proofErr w:type="spellEnd"/>
      <w:r w:rsidRPr="00796237">
        <w:rPr>
          <w:color w:val="auto"/>
        </w:rPr>
        <w:t xml:space="preserve">, fato que causaria retrabalho e diminuição da eficiência </w:t>
      </w:r>
      <w:r>
        <w:rPr>
          <w:color w:val="auto"/>
        </w:rPr>
        <w:t>na execução dos trabalhos.</w:t>
      </w:r>
    </w:p>
    <w:p w14:paraId="287251E8"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 xml:space="preserve">Considerando o início das atividades de arquitetura e engenharia visando a construção de edificação própria o Conselho Nacional do Ministério Público – CNMP; </w:t>
      </w:r>
      <w:proofErr w:type="spellStart"/>
      <w:r>
        <w:rPr>
          <w:color w:val="auto"/>
        </w:rPr>
        <w:t>considerandoque</w:t>
      </w:r>
      <w:proofErr w:type="spellEnd"/>
      <w:r>
        <w:rPr>
          <w:color w:val="auto"/>
        </w:rPr>
        <w:t xml:space="preserve"> com</w:t>
      </w:r>
      <w:r w:rsidRPr="006A499C">
        <w:rPr>
          <w:color w:val="auto"/>
        </w:rPr>
        <w:t xml:space="preserve"> o advento do Decreto </w:t>
      </w:r>
      <w:r w:rsidRPr="00A118B8">
        <w:rPr>
          <w:color w:val="auto"/>
        </w:rPr>
        <w:t xml:space="preserve">Nº 10.306, </w:t>
      </w:r>
      <w:r>
        <w:rPr>
          <w:color w:val="auto"/>
        </w:rPr>
        <w:t>de</w:t>
      </w:r>
      <w:r w:rsidRPr="00A118B8">
        <w:rPr>
          <w:color w:val="auto"/>
        </w:rPr>
        <w:t xml:space="preserve"> 2 </w:t>
      </w:r>
      <w:r>
        <w:rPr>
          <w:color w:val="auto"/>
        </w:rPr>
        <w:t xml:space="preserve">de </w:t>
      </w:r>
      <w:proofErr w:type="spellStart"/>
      <w:r>
        <w:rPr>
          <w:color w:val="auto"/>
        </w:rPr>
        <w:t>abrilde</w:t>
      </w:r>
      <w:proofErr w:type="spellEnd"/>
      <w:r w:rsidRPr="00A118B8">
        <w:rPr>
          <w:color w:val="auto"/>
        </w:rPr>
        <w:t xml:space="preserve"> 2020</w:t>
      </w:r>
      <w:r w:rsidRPr="006A499C">
        <w:rPr>
          <w:color w:val="auto"/>
        </w:rPr>
        <w:t>, há um cronograma para implantação da metodologia BIM na execução direta ou indireta de obras e serviços de engenharia realizada pelos órgãos e pelas entidades da administração pública federal</w:t>
      </w:r>
      <w:r>
        <w:rPr>
          <w:color w:val="auto"/>
        </w:rPr>
        <w:t>, destacando-se que o referido decreto faculta o</w:t>
      </w:r>
      <w:r w:rsidRPr="006B13C6">
        <w:rPr>
          <w:color w:val="auto"/>
        </w:rPr>
        <w:t>s órgãos e as entidades da administração pública federal</w:t>
      </w:r>
      <w:r>
        <w:rPr>
          <w:color w:val="auto"/>
        </w:rPr>
        <w:t xml:space="preserve">, </w:t>
      </w:r>
      <w:r w:rsidRPr="00A93E8A">
        <w:rPr>
          <w:color w:val="auto"/>
        </w:rPr>
        <w:t>não referidos</w:t>
      </w:r>
      <w:r>
        <w:rPr>
          <w:color w:val="auto"/>
        </w:rPr>
        <w:t xml:space="preserve"> no Art. 2º, já a adotar</w:t>
      </w:r>
      <w:r w:rsidRPr="00A93E8A">
        <w:rPr>
          <w:color w:val="auto"/>
        </w:rPr>
        <w:t xml:space="preserve"> as ações de implementação </w:t>
      </w:r>
      <w:proofErr w:type="spellStart"/>
      <w:r w:rsidRPr="00A93E8A">
        <w:rPr>
          <w:color w:val="auto"/>
        </w:rPr>
        <w:t>doBIMnos</w:t>
      </w:r>
      <w:proofErr w:type="spellEnd"/>
      <w:r w:rsidRPr="00A93E8A">
        <w:rPr>
          <w:color w:val="auto"/>
        </w:rPr>
        <w:t xml:space="preserve"> termos disposto</w:t>
      </w:r>
      <w:r>
        <w:rPr>
          <w:color w:val="auto"/>
        </w:rPr>
        <w:t xml:space="preserve">s; e, considerando que a atual equipe da Coordenadoria de Engenharia é composta por 05 cinco servidores, entre analistas de Engenharia e de Arquitetura, e outros 3 (três) estagiários nas áreas de arquitetura e engenharia; considera-se necessário a manutenção do parque de licenças já existentes no CNMP, bem como a inclusão de 02 (duas) novas licenças ao parque existente, totalizando um total de 06 (seis) licenças do pacote </w:t>
      </w:r>
      <w:r w:rsidRPr="00041F19">
        <w:rPr>
          <w:color w:val="auto"/>
        </w:rPr>
        <w:t xml:space="preserve">de Software </w:t>
      </w:r>
      <w:proofErr w:type="spellStart"/>
      <w:r w:rsidRPr="00041F19">
        <w:rPr>
          <w:i/>
          <w:iCs/>
          <w:color w:val="auto"/>
        </w:rPr>
        <w:t>SuiteAutoDeskArchitectureEnginerringandConstructionCollection</w:t>
      </w:r>
      <w:proofErr w:type="spellEnd"/>
      <w:r w:rsidRPr="00041F19">
        <w:rPr>
          <w:i/>
          <w:iCs/>
          <w:color w:val="auto"/>
        </w:rPr>
        <w:t xml:space="preserve"> – AEC COLLECTION</w:t>
      </w:r>
      <w:r>
        <w:rPr>
          <w:color w:val="auto"/>
        </w:rPr>
        <w:t>.</w:t>
      </w:r>
    </w:p>
    <w:p w14:paraId="44BCEBBA" w14:textId="77777777" w:rsidR="00E0208F" w:rsidRPr="001D0752"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1D0752">
        <w:rPr>
          <w:color w:val="auto"/>
        </w:rPr>
        <w:lastRenderedPageBreak/>
        <w:t xml:space="preserve">A adoção do pacote, ao invés da aquisição individualizada de cada produto, se justifica pelo fato de ser mais vantajoso financeiramente e </w:t>
      </w:r>
      <w:proofErr w:type="spellStart"/>
      <w:proofErr w:type="gramStart"/>
      <w:r w:rsidRPr="001D0752">
        <w:rPr>
          <w:color w:val="auto"/>
        </w:rPr>
        <w:t>tecnicamente,visto</w:t>
      </w:r>
      <w:proofErr w:type="spellEnd"/>
      <w:proofErr w:type="gramEnd"/>
      <w:r w:rsidRPr="001D0752">
        <w:rPr>
          <w:color w:val="auto"/>
        </w:rPr>
        <w:t xml:space="preserve"> que além de apresentar custo menor, o pacote agrega outros produtos, mais especializados, além das ferramentas mais básicas de CAD e de BIM</w:t>
      </w:r>
      <w:r>
        <w:rPr>
          <w:color w:val="auto"/>
        </w:rPr>
        <w:t xml:space="preserve">. Dessa </w:t>
      </w:r>
      <w:proofErr w:type="spellStart"/>
      <w:proofErr w:type="gramStart"/>
      <w:r>
        <w:rPr>
          <w:color w:val="auto"/>
        </w:rPr>
        <w:t>forma,elas</w:t>
      </w:r>
      <w:proofErr w:type="spellEnd"/>
      <w:proofErr w:type="gramEnd"/>
      <w:r>
        <w:rPr>
          <w:color w:val="auto"/>
        </w:rPr>
        <w:t xml:space="preserve"> </w:t>
      </w:r>
      <w:r w:rsidRPr="001D0752">
        <w:rPr>
          <w:color w:val="auto"/>
        </w:rPr>
        <w:t xml:space="preserve">complementam as ferramentas mais básicas com recursos </w:t>
      </w:r>
      <w:r>
        <w:rPr>
          <w:color w:val="auto"/>
        </w:rPr>
        <w:t xml:space="preserve">especiais, como </w:t>
      </w:r>
      <w:r w:rsidRPr="00F6410C">
        <w:rPr>
          <w:color w:val="auto"/>
        </w:rPr>
        <w:t>animação e renderização</w:t>
      </w:r>
      <w:r>
        <w:rPr>
          <w:color w:val="auto"/>
        </w:rPr>
        <w:t xml:space="preserve">, e </w:t>
      </w:r>
      <w:r w:rsidRPr="001D0752">
        <w:rPr>
          <w:color w:val="auto"/>
        </w:rPr>
        <w:t xml:space="preserve">específicos para </w:t>
      </w:r>
      <w:r>
        <w:rPr>
          <w:color w:val="auto"/>
        </w:rPr>
        <w:t xml:space="preserve">as </w:t>
      </w:r>
      <w:r w:rsidRPr="001D0752">
        <w:rPr>
          <w:color w:val="auto"/>
        </w:rPr>
        <w:t>diferentes disciplinas da engenharia</w:t>
      </w:r>
      <w:r>
        <w:rPr>
          <w:color w:val="auto"/>
        </w:rPr>
        <w:t xml:space="preserve"> – civil, mecânica e elétrica, e de arquitetura</w:t>
      </w:r>
      <w:r w:rsidRPr="001D0752">
        <w:rPr>
          <w:color w:val="auto"/>
        </w:rPr>
        <w:t>.</w:t>
      </w:r>
    </w:p>
    <w:p w14:paraId="1EAC0C20" w14:textId="77777777" w:rsidR="00E0208F" w:rsidRPr="00410A9A"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410A9A">
        <w:rPr>
          <w:color w:val="auto"/>
        </w:rPr>
        <w:t>Pelas razões expostas e diante do término</w:t>
      </w:r>
      <w:r>
        <w:rPr>
          <w:color w:val="auto"/>
        </w:rPr>
        <w:t>,</w:t>
      </w:r>
      <w:r w:rsidRPr="00410A9A">
        <w:rPr>
          <w:color w:val="auto"/>
        </w:rPr>
        <w:t xml:space="preserve"> em 27 de outubro de 20</w:t>
      </w:r>
      <w:r>
        <w:rPr>
          <w:color w:val="auto"/>
        </w:rPr>
        <w:t xml:space="preserve">22, </w:t>
      </w:r>
      <w:proofErr w:type="spellStart"/>
      <w:r w:rsidRPr="00AF4912">
        <w:rPr>
          <w:color w:val="auto"/>
        </w:rPr>
        <w:t>doContrato</w:t>
      </w:r>
      <w:proofErr w:type="spellEnd"/>
      <w:r w:rsidRPr="00AF4912">
        <w:rPr>
          <w:color w:val="auto"/>
        </w:rPr>
        <w:t xml:space="preserve"> CNMP nº 24/2019, </w:t>
      </w:r>
      <w:r>
        <w:rPr>
          <w:color w:val="auto"/>
        </w:rPr>
        <w:t xml:space="preserve">relacionado às </w:t>
      </w:r>
      <w:r w:rsidRPr="00410A9A">
        <w:rPr>
          <w:color w:val="auto"/>
        </w:rPr>
        <w:t xml:space="preserve">subscrições </w:t>
      </w:r>
      <w:r>
        <w:rPr>
          <w:color w:val="auto"/>
        </w:rPr>
        <w:t xml:space="preserve">das 04 (quatro)licenças </w:t>
      </w:r>
      <w:r w:rsidRPr="00410A9A">
        <w:rPr>
          <w:color w:val="auto"/>
        </w:rPr>
        <w:t xml:space="preserve">do software de apoio às atividades da COENG, destaca-se a necessidade de renovação do parque de licenças incluindo </w:t>
      </w:r>
      <w:r>
        <w:rPr>
          <w:color w:val="auto"/>
        </w:rPr>
        <w:t xml:space="preserve">a manutenção das licenças atuais, bem como </w:t>
      </w:r>
      <w:r w:rsidRPr="00410A9A">
        <w:rPr>
          <w:color w:val="auto"/>
        </w:rPr>
        <w:t xml:space="preserve">a </w:t>
      </w:r>
      <w:r>
        <w:rPr>
          <w:color w:val="auto"/>
        </w:rPr>
        <w:t>adição de duas novas licenças</w:t>
      </w:r>
      <w:r w:rsidRPr="00410A9A">
        <w:rPr>
          <w:color w:val="auto"/>
        </w:rPr>
        <w:t>, já prevendo cobertura por um período de 36 (trinta e seis) meses.</w:t>
      </w:r>
    </w:p>
    <w:p w14:paraId="4959DB07" w14:textId="77777777" w:rsidR="00E0208F" w:rsidRPr="00410A9A"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410A9A">
        <w:rPr>
          <w:color w:val="auto"/>
        </w:rPr>
        <w:t xml:space="preserve"> A contratação da manutenção das licenças garante os seguintes benefícios:</w:t>
      </w:r>
    </w:p>
    <w:p w14:paraId="17346640" w14:textId="77777777" w:rsidR="00E0208F" w:rsidRPr="00410A9A"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00410A9A">
        <w:rPr>
          <w:color w:val="auto"/>
        </w:rPr>
        <w:t>Suporte especializado por telefone (0800) com especialista, via agendamento.</w:t>
      </w:r>
    </w:p>
    <w:p w14:paraId="50435C66" w14:textId="77777777" w:rsidR="00E0208F" w:rsidRPr="00410A9A"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00410A9A">
        <w:rPr>
          <w:color w:val="auto"/>
        </w:rPr>
        <w:t xml:space="preserve">Acesso a todas as atualizações de versões, corretivas e evolutivas da solução durante </w:t>
      </w:r>
      <w:r>
        <w:rPr>
          <w:color w:val="auto"/>
        </w:rPr>
        <w:t>a vigência d</w:t>
      </w:r>
      <w:r w:rsidRPr="00410A9A">
        <w:rPr>
          <w:color w:val="auto"/>
        </w:rPr>
        <w:t>o contrato;</w:t>
      </w:r>
    </w:p>
    <w:p w14:paraId="433C82E8" w14:textId="77777777" w:rsidR="00E0208F"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00410A9A">
        <w:rPr>
          <w:color w:val="auto"/>
        </w:rPr>
        <w:t>Armazenamento em nuvem com comunicação direta com os aplicativos associados.</w:t>
      </w:r>
    </w:p>
    <w:p w14:paraId="0376CD8F" w14:textId="77777777" w:rsidR="00E0208F" w:rsidRPr="008A607C" w:rsidRDefault="00E0208F" w:rsidP="00E0208F">
      <w:pPr>
        <w:pStyle w:val="PargrafodaLista"/>
        <w:numPr>
          <w:ilvl w:val="2"/>
          <w:numId w:val="37"/>
        </w:numPr>
        <w:suppressAutoHyphens w:val="0"/>
        <w:spacing w:after="200" w:line="276" w:lineRule="auto"/>
        <w:contextualSpacing/>
        <w:textAlignment w:val="auto"/>
        <w:rPr>
          <w:rFonts w:eastAsia="Times New Roman" w:cs="Times New Roman"/>
          <w:sz w:val="24"/>
          <w:szCs w:val="24"/>
        </w:rPr>
      </w:pPr>
      <w:r w:rsidRPr="008A607C">
        <w:rPr>
          <w:rFonts w:eastAsia="Times New Roman" w:cs="Times New Roman"/>
          <w:sz w:val="24"/>
          <w:szCs w:val="24"/>
        </w:rPr>
        <w:t xml:space="preserve">Renderização em Nuvem no Autodesk </w:t>
      </w:r>
      <w:proofErr w:type="spellStart"/>
      <w:r w:rsidRPr="008A607C">
        <w:rPr>
          <w:rFonts w:eastAsia="Times New Roman" w:cs="Times New Roman"/>
          <w:sz w:val="24"/>
          <w:szCs w:val="24"/>
        </w:rPr>
        <w:t>Rendering</w:t>
      </w:r>
      <w:proofErr w:type="spellEnd"/>
      <w:r>
        <w:rPr>
          <w:rFonts w:eastAsia="Times New Roman" w:cs="Times New Roman"/>
          <w:sz w:val="24"/>
          <w:szCs w:val="24"/>
        </w:rPr>
        <w:t>.</w:t>
      </w:r>
    </w:p>
    <w:p w14:paraId="7FB8A12A" w14:textId="77777777" w:rsidR="00E0208F" w:rsidRPr="003068BE"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 xml:space="preserve">A </w:t>
      </w:r>
      <w:r w:rsidRPr="003068BE">
        <w:rPr>
          <w:color w:val="auto"/>
        </w:rPr>
        <w:t xml:space="preserve">validação de mercado realizada demonstrou ser mais vantajoso a aquisição da subscrição pelo período de 36 (trinta e seis) meses. Cumpre ainda destacar que tal situação proporciona vantagem adicional em se evitar a provável repetição de licitações anualmente, reduzindo, assim, </w:t>
      </w:r>
      <w:r>
        <w:rPr>
          <w:color w:val="auto"/>
        </w:rPr>
        <w:t xml:space="preserve">impactos na força de trabalho e nos </w:t>
      </w:r>
      <w:r w:rsidRPr="003068BE">
        <w:rPr>
          <w:color w:val="auto"/>
        </w:rPr>
        <w:t>custos administrativos.</w:t>
      </w:r>
    </w:p>
    <w:p w14:paraId="690BCDA1" w14:textId="77777777" w:rsidR="00E0208F" w:rsidRPr="002C0772"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 xml:space="preserve">Por fim, devido às características do serviço, </w:t>
      </w:r>
      <w:r>
        <w:rPr>
          <w:color w:val="auto"/>
        </w:rPr>
        <w:t xml:space="preserve">que é </w:t>
      </w:r>
      <w:r w:rsidRPr="00410A9A">
        <w:rPr>
          <w:color w:val="auto"/>
        </w:rPr>
        <w:t>contratação de subscrição de software</w:t>
      </w:r>
      <w:r>
        <w:rPr>
          <w:color w:val="auto"/>
        </w:rPr>
        <w:t xml:space="preserve"> e o referido suporte técnico,</w:t>
      </w:r>
      <w:r w:rsidRPr="00410A9A">
        <w:rPr>
          <w:color w:val="auto"/>
        </w:rPr>
        <w:t xml:space="preserve"> não se aplica critérios e práticas de sustentabilidade ambiental</w:t>
      </w:r>
      <w:r w:rsidRPr="002C0772">
        <w:rPr>
          <w:color w:val="auto"/>
        </w:rPr>
        <w:t>.</w:t>
      </w:r>
    </w:p>
    <w:p w14:paraId="04DC7F9F" w14:textId="77777777" w:rsidR="00E0208F" w:rsidRPr="00C275FA" w:rsidRDefault="00E0208F" w:rsidP="00E0208F">
      <w:pPr>
        <w:pStyle w:val="Default"/>
        <w:spacing w:line="360" w:lineRule="auto"/>
        <w:ind w:firstLine="709"/>
        <w:jc w:val="both"/>
        <w:rPr>
          <w:color w:val="auto"/>
        </w:rPr>
      </w:pPr>
    </w:p>
    <w:p w14:paraId="1A1899FB"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DESCRIÇÃO DO OBJETO</w:t>
      </w:r>
    </w:p>
    <w:p w14:paraId="3CD7F3E5" w14:textId="77777777" w:rsidR="00E0208F" w:rsidRDefault="00E0208F" w:rsidP="00E0208F">
      <w:pPr>
        <w:pStyle w:val="Default"/>
        <w:spacing w:line="360" w:lineRule="auto"/>
        <w:ind w:firstLine="708"/>
        <w:jc w:val="both"/>
        <w:rPr>
          <w:color w:val="auto"/>
        </w:rPr>
      </w:pPr>
      <w:r w:rsidRPr="00E61672">
        <w:rPr>
          <w:color w:val="auto"/>
        </w:rPr>
        <w:t>As condições e características técnicas mínimas:</w:t>
      </w:r>
    </w:p>
    <w:p w14:paraId="43B47D7F" w14:textId="77777777" w:rsidR="00E0208F" w:rsidRDefault="00E0208F" w:rsidP="00E0208F">
      <w:pPr>
        <w:pStyle w:val="PargrafodaLista"/>
        <w:ind w:left="792"/>
        <w:jc w:val="both"/>
        <w:rPr>
          <w:rFonts w:eastAsia="Times New Roman" w:cs="Times New Roman"/>
          <w:sz w:val="24"/>
          <w:szCs w:val="24"/>
        </w:rPr>
      </w:pPr>
    </w:p>
    <w:p w14:paraId="7E3F3ACA" w14:textId="77777777" w:rsidR="00E0208F"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sidRPr="00E61672">
        <w:rPr>
          <w:rFonts w:eastAsia="Times New Roman" w:cs="Times New Roman"/>
          <w:sz w:val="24"/>
          <w:szCs w:val="24"/>
        </w:rPr>
        <w:t>Aplicativos inclusos no pacote</w:t>
      </w:r>
      <w:r>
        <w:rPr>
          <w:rFonts w:eastAsia="Times New Roman" w:cs="Times New Roman"/>
          <w:sz w:val="24"/>
          <w:szCs w:val="24"/>
        </w:rPr>
        <w:t>, aplicável tanto para a renovação quanto para a aquisição de novas licenças:</w:t>
      </w:r>
    </w:p>
    <w:p w14:paraId="5ABF466D"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3ds Max</w:t>
      </w:r>
    </w:p>
    <w:p w14:paraId="76FDA4ED"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lastRenderedPageBreak/>
        <w:t>Advance</w:t>
      </w:r>
      <w:proofErr w:type="spellEnd"/>
      <w:r w:rsidRPr="002C5D00">
        <w:rPr>
          <w:rFonts w:eastAsia="Times New Roman" w:cs="Times New Roman"/>
          <w:sz w:val="24"/>
          <w:szCs w:val="24"/>
        </w:rPr>
        <w:t xml:space="preserve"> Steel</w:t>
      </w:r>
    </w:p>
    <w:p w14:paraId="7BAD166C"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AutoCAD</w:t>
      </w:r>
    </w:p>
    <w:p w14:paraId="3A423707"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AutoCAD </w:t>
      </w:r>
      <w:proofErr w:type="spellStart"/>
      <w:r w:rsidRPr="002C5D00">
        <w:rPr>
          <w:rFonts w:eastAsia="Times New Roman" w:cs="Times New Roman"/>
          <w:sz w:val="24"/>
          <w:szCs w:val="24"/>
        </w:rPr>
        <w:t>Architecture</w:t>
      </w:r>
      <w:proofErr w:type="spellEnd"/>
    </w:p>
    <w:p w14:paraId="1945E2E2"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AutoCAD </w:t>
      </w:r>
      <w:proofErr w:type="spellStart"/>
      <w:r w:rsidRPr="002C5D00">
        <w:rPr>
          <w:rFonts w:eastAsia="Times New Roman" w:cs="Times New Roman"/>
          <w:sz w:val="24"/>
          <w:szCs w:val="24"/>
        </w:rPr>
        <w:t>Electrical</w:t>
      </w:r>
      <w:proofErr w:type="spellEnd"/>
    </w:p>
    <w:p w14:paraId="291DBBB0"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AutoCAD Map 3D</w:t>
      </w:r>
    </w:p>
    <w:p w14:paraId="74B622A1"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AutoCAD </w:t>
      </w:r>
      <w:proofErr w:type="spellStart"/>
      <w:r w:rsidRPr="002C5D00">
        <w:rPr>
          <w:rFonts w:eastAsia="Times New Roman" w:cs="Times New Roman"/>
          <w:sz w:val="24"/>
          <w:szCs w:val="24"/>
        </w:rPr>
        <w:t>Mechanical</w:t>
      </w:r>
      <w:proofErr w:type="spellEnd"/>
    </w:p>
    <w:p w14:paraId="0A5B7693"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AutoCAD MEP </w:t>
      </w:r>
    </w:p>
    <w:p w14:paraId="71E09115"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AutoCAD Plant 3D</w:t>
      </w:r>
    </w:p>
    <w:p w14:paraId="4F2ACEDC"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AutoCAD </w:t>
      </w:r>
      <w:proofErr w:type="spellStart"/>
      <w:r w:rsidRPr="002C5D00">
        <w:rPr>
          <w:rFonts w:eastAsia="Times New Roman" w:cs="Times New Roman"/>
          <w:sz w:val="24"/>
          <w:szCs w:val="24"/>
        </w:rPr>
        <w:t>Raster</w:t>
      </w:r>
      <w:proofErr w:type="spellEnd"/>
      <w:r w:rsidRPr="002C5D00">
        <w:rPr>
          <w:rFonts w:eastAsia="Times New Roman" w:cs="Times New Roman"/>
          <w:sz w:val="24"/>
          <w:szCs w:val="24"/>
        </w:rPr>
        <w:t xml:space="preserve"> Design </w:t>
      </w:r>
    </w:p>
    <w:p w14:paraId="384EAE0E"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AutoCAD Mobile App</w:t>
      </w:r>
    </w:p>
    <w:p w14:paraId="3D782AA6"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AutoCAD Web App</w:t>
      </w:r>
    </w:p>
    <w:p w14:paraId="4608FACC"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Civil 3D</w:t>
      </w:r>
    </w:p>
    <w:p w14:paraId="618A2B70"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Dynamo</w:t>
      </w:r>
      <w:proofErr w:type="spellEnd"/>
      <w:r w:rsidRPr="002C5D00">
        <w:rPr>
          <w:rFonts w:eastAsia="Times New Roman" w:cs="Times New Roman"/>
          <w:sz w:val="24"/>
          <w:szCs w:val="24"/>
        </w:rPr>
        <w:t xml:space="preserve"> Studio</w:t>
      </w:r>
    </w:p>
    <w:p w14:paraId="0CB164E5"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FabricationCADmep</w:t>
      </w:r>
      <w:proofErr w:type="spellEnd"/>
    </w:p>
    <w:p w14:paraId="0C786CAD"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FormIt</w:t>
      </w:r>
      <w:proofErr w:type="spellEnd"/>
    </w:p>
    <w:p w14:paraId="02EDE744"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InfraWorks</w:t>
      </w:r>
      <w:proofErr w:type="spellEnd"/>
    </w:p>
    <w:p w14:paraId="7BCDDAF0"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Insigth</w:t>
      </w:r>
      <w:proofErr w:type="spellEnd"/>
    </w:p>
    <w:p w14:paraId="23553515"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NavisworksManage</w:t>
      </w:r>
      <w:proofErr w:type="spellEnd"/>
    </w:p>
    <w:p w14:paraId="16E235D5"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Recap</w:t>
      </w:r>
      <w:proofErr w:type="spellEnd"/>
      <w:r w:rsidRPr="002C5D00">
        <w:rPr>
          <w:rFonts w:eastAsia="Times New Roman" w:cs="Times New Roman"/>
          <w:sz w:val="24"/>
          <w:szCs w:val="24"/>
        </w:rPr>
        <w:t xml:space="preserve"> Pro</w:t>
      </w:r>
    </w:p>
    <w:p w14:paraId="7F37DFA0"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Revit</w:t>
      </w:r>
      <w:proofErr w:type="spellEnd"/>
    </w:p>
    <w:p w14:paraId="1D8B069F"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RobotStructuralAnalysis</w:t>
      </w:r>
      <w:proofErr w:type="spellEnd"/>
      <w:r w:rsidRPr="002C5D00">
        <w:rPr>
          <w:rFonts w:eastAsia="Times New Roman" w:cs="Times New Roman"/>
          <w:sz w:val="24"/>
          <w:szCs w:val="24"/>
        </w:rPr>
        <w:t xml:space="preserve"> Professional</w:t>
      </w:r>
    </w:p>
    <w:p w14:paraId="7989C139"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Structural</w:t>
      </w:r>
      <w:proofErr w:type="spellEnd"/>
      <w:r w:rsidRPr="002C5D00">
        <w:rPr>
          <w:rFonts w:eastAsia="Times New Roman" w:cs="Times New Roman"/>
          <w:sz w:val="24"/>
          <w:szCs w:val="24"/>
        </w:rPr>
        <w:t xml:space="preserve"> Bridge Design</w:t>
      </w:r>
    </w:p>
    <w:p w14:paraId="34C6A224"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proofErr w:type="spellStart"/>
      <w:r w:rsidRPr="002C5D00">
        <w:rPr>
          <w:rFonts w:eastAsia="Times New Roman" w:cs="Times New Roman"/>
          <w:sz w:val="24"/>
          <w:szCs w:val="24"/>
        </w:rPr>
        <w:t>Vehicle</w:t>
      </w:r>
      <w:proofErr w:type="spellEnd"/>
      <w:r w:rsidRPr="002C5D00">
        <w:rPr>
          <w:rFonts w:eastAsia="Times New Roman" w:cs="Times New Roman"/>
          <w:sz w:val="24"/>
          <w:szCs w:val="24"/>
        </w:rPr>
        <w:t xml:space="preserve"> Tracking</w:t>
      </w:r>
    </w:p>
    <w:p w14:paraId="4347116D"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Autodesk </w:t>
      </w:r>
      <w:proofErr w:type="spellStart"/>
      <w:r w:rsidRPr="002C5D00">
        <w:rPr>
          <w:rFonts w:eastAsia="Times New Roman" w:cs="Times New Roman"/>
          <w:sz w:val="24"/>
          <w:szCs w:val="24"/>
        </w:rPr>
        <w:t>Redering</w:t>
      </w:r>
      <w:proofErr w:type="spellEnd"/>
    </w:p>
    <w:p w14:paraId="18744DFA"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Autodesk Drive</w:t>
      </w:r>
    </w:p>
    <w:p w14:paraId="40E03F52" w14:textId="77777777" w:rsidR="00E0208F"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Autodesk </w:t>
      </w:r>
      <w:proofErr w:type="spellStart"/>
      <w:r w:rsidRPr="002C5D00">
        <w:rPr>
          <w:rFonts w:eastAsia="Times New Roman" w:cs="Times New Roman"/>
          <w:sz w:val="24"/>
          <w:szCs w:val="24"/>
        </w:rPr>
        <w:t>DOCs</w:t>
      </w:r>
      <w:proofErr w:type="spellEnd"/>
    </w:p>
    <w:p w14:paraId="75E9FBE9" w14:textId="77777777" w:rsidR="00E0208F" w:rsidRDefault="00E0208F" w:rsidP="00E0208F">
      <w:pPr>
        <w:pStyle w:val="PargrafodaLista"/>
        <w:ind w:left="1224"/>
        <w:jc w:val="both"/>
        <w:rPr>
          <w:rFonts w:eastAsia="Times New Roman" w:cs="Times New Roman"/>
          <w:sz w:val="24"/>
          <w:szCs w:val="24"/>
        </w:rPr>
      </w:pPr>
    </w:p>
    <w:p w14:paraId="2C7212A8" w14:textId="77777777" w:rsidR="00E0208F"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Pr>
          <w:rFonts w:eastAsia="Times New Roman" w:cs="Times New Roman"/>
          <w:sz w:val="24"/>
          <w:szCs w:val="24"/>
        </w:rPr>
        <w:t xml:space="preserve">Para as cotações, em especial, da renovação do parque de licenças já existente no CNMP, deverão ser garantidas as vantagens comerciais já disponibilizadas pela </w:t>
      </w:r>
      <w:proofErr w:type="spellStart"/>
      <w:r w:rsidRPr="008C6847">
        <w:rPr>
          <w:rFonts w:eastAsia="Times New Roman" w:cs="Times New Roman"/>
          <w:sz w:val="24"/>
          <w:szCs w:val="24"/>
        </w:rPr>
        <w:t>AutoDesk</w:t>
      </w:r>
      <w:proofErr w:type="spellEnd"/>
      <w:r>
        <w:rPr>
          <w:rFonts w:eastAsia="Times New Roman" w:cs="Times New Roman"/>
          <w:sz w:val="24"/>
          <w:szCs w:val="24"/>
        </w:rPr>
        <w:t xml:space="preserve">, </w:t>
      </w:r>
      <w:r w:rsidRPr="008C6847">
        <w:rPr>
          <w:rFonts w:eastAsia="Times New Roman" w:cs="Times New Roman"/>
          <w:sz w:val="24"/>
          <w:szCs w:val="24"/>
        </w:rPr>
        <w:t xml:space="preserve">conforme condições comerciais relacionadas </w:t>
      </w:r>
      <w:proofErr w:type="spellStart"/>
      <w:r w:rsidRPr="008C6847">
        <w:rPr>
          <w:rFonts w:eastAsia="Times New Roman" w:cs="Times New Roman"/>
          <w:sz w:val="24"/>
          <w:szCs w:val="24"/>
        </w:rPr>
        <w:t>aoContrato</w:t>
      </w:r>
      <w:proofErr w:type="spellEnd"/>
      <w:r w:rsidRPr="008C6847">
        <w:rPr>
          <w:rFonts w:eastAsia="Times New Roman" w:cs="Times New Roman"/>
          <w:sz w:val="24"/>
          <w:szCs w:val="24"/>
        </w:rPr>
        <w:t xml:space="preserve"> AUTODESK Número nº 110002804049.</w:t>
      </w:r>
    </w:p>
    <w:p w14:paraId="2F4277FF" w14:textId="77777777" w:rsidR="00E0208F" w:rsidRPr="002C5D00"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Serviços na nuvem incluídos:</w:t>
      </w:r>
    </w:p>
    <w:p w14:paraId="2402379F" w14:textId="77777777" w:rsidR="00E0208F" w:rsidRPr="002C5D00"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Armazenamento em nuvem (25 GB de espaço)</w:t>
      </w:r>
    </w:p>
    <w:p w14:paraId="041C9B44" w14:textId="77777777" w:rsidR="00E0208F"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2C5D00">
        <w:rPr>
          <w:rFonts w:eastAsia="Times New Roman" w:cs="Times New Roman"/>
          <w:sz w:val="24"/>
          <w:szCs w:val="24"/>
        </w:rPr>
        <w:t xml:space="preserve">Renderização em Nuvem no Autodesk </w:t>
      </w:r>
      <w:proofErr w:type="spellStart"/>
      <w:r w:rsidRPr="002C5D00">
        <w:rPr>
          <w:rFonts w:eastAsia="Times New Roman" w:cs="Times New Roman"/>
          <w:sz w:val="24"/>
          <w:szCs w:val="24"/>
        </w:rPr>
        <w:t>Rendering</w:t>
      </w:r>
      <w:proofErr w:type="spellEnd"/>
    </w:p>
    <w:p w14:paraId="587D44A3" w14:textId="77777777" w:rsidR="00E0208F" w:rsidRPr="008C6847"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sidRPr="008C6847">
        <w:rPr>
          <w:rFonts w:eastAsia="Times New Roman" w:cs="Times New Roman"/>
          <w:sz w:val="24"/>
          <w:szCs w:val="24"/>
        </w:rPr>
        <w:t>A conta cadastrada no fabricante deverá ficar no nome do Conselho Nacional do Ministério Público;</w:t>
      </w:r>
    </w:p>
    <w:p w14:paraId="58BEFF40" w14:textId="77777777" w:rsidR="00E0208F"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sidRPr="008C6847">
        <w:rPr>
          <w:rFonts w:eastAsia="Times New Roman" w:cs="Times New Roman"/>
          <w:sz w:val="24"/>
          <w:szCs w:val="24"/>
        </w:rPr>
        <w:t>Ser entregue uma chave de licenciamento do produto e acesso para Download do produto contratado no site do fabricante. E disponibilizar toda documentação e manuais no site do fabricante.</w:t>
      </w:r>
    </w:p>
    <w:p w14:paraId="32531284" w14:textId="77777777" w:rsidR="00E0208F" w:rsidRPr="008C6847"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Pr>
          <w:rFonts w:eastAsia="Times New Roman" w:cs="Times New Roman"/>
          <w:sz w:val="24"/>
          <w:szCs w:val="24"/>
        </w:rPr>
        <w:lastRenderedPageBreak/>
        <w:t xml:space="preserve">Ser entregue o certificado </w:t>
      </w:r>
      <w:r w:rsidRPr="008A607C">
        <w:rPr>
          <w:rFonts w:eastAsia="Times New Roman" w:cs="Times New Roman"/>
          <w:sz w:val="24"/>
          <w:szCs w:val="24"/>
        </w:rPr>
        <w:t xml:space="preserve">das licenças emitido pela </w:t>
      </w:r>
      <w:proofErr w:type="spellStart"/>
      <w:r w:rsidRPr="008A607C">
        <w:rPr>
          <w:rFonts w:eastAsia="Times New Roman" w:cs="Times New Roman"/>
          <w:sz w:val="24"/>
          <w:szCs w:val="24"/>
        </w:rPr>
        <w:t>AutoDesk</w:t>
      </w:r>
      <w:proofErr w:type="spellEnd"/>
      <w:r w:rsidRPr="008A607C">
        <w:rPr>
          <w:rFonts w:eastAsia="Times New Roman" w:cs="Times New Roman"/>
          <w:sz w:val="24"/>
          <w:szCs w:val="24"/>
        </w:rPr>
        <w:t xml:space="preserve"> em nome do Conselho Nacional do Ministério Público</w:t>
      </w:r>
      <w:r>
        <w:rPr>
          <w:rFonts w:eastAsia="Times New Roman" w:cs="Times New Roman"/>
          <w:sz w:val="24"/>
          <w:szCs w:val="24"/>
        </w:rPr>
        <w:t xml:space="preserve"> – CNMP,</w:t>
      </w:r>
      <w:r w:rsidRPr="008A607C">
        <w:rPr>
          <w:rFonts w:eastAsia="Times New Roman" w:cs="Times New Roman"/>
          <w:sz w:val="24"/>
          <w:szCs w:val="24"/>
        </w:rPr>
        <w:t xml:space="preserve"> atendendo as especificações e exigências estipuladas neste Termo</w:t>
      </w:r>
      <w:r>
        <w:rPr>
          <w:rFonts w:eastAsia="Times New Roman" w:cs="Times New Roman"/>
          <w:sz w:val="24"/>
          <w:szCs w:val="24"/>
        </w:rPr>
        <w:t>.</w:t>
      </w:r>
    </w:p>
    <w:p w14:paraId="37FA2ABE" w14:textId="77777777" w:rsidR="00E0208F" w:rsidRPr="0098570D" w:rsidRDefault="00E0208F" w:rsidP="00E0208F">
      <w:pPr>
        <w:pStyle w:val="PargrafodaLista"/>
        <w:numPr>
          <w:ilvl w:val="1"/>
          <w:numId w:val="37"/>
        </w:numPr>
        <w:suppressAutoHyphens w:val="0"/>
        <w:spacing w:after="200" w:line="276" w:lineRule="auto"/>
        <w:contextualSpacing/>
        <w:jc w:val="both"/>
        <w:textAlignment w:val="auto"/>
        <w:rPr>
          <w:rFonts w:eastAsia="Times New Roman" w:cs="Times New Roman"/>
          <w:sz w:val="24"/>
          <w:szCs w:val="24"/>
        </w:rPr>
      </w:pPr>
      <w:r>
        <w:rPr>
          <w:rFonts w:eastAsia="Times New Roman" w:cs="Times New Roman"/>
          <w:sz w:val="24"/>
          <w:szCs w:val="24"/>
        </w:rPr>
        <w:t>Os Softwares devem ser c</w:t>
      </w:r>
      <w:r w:rsidRPr="008C6847">
        <w:rPr>
          <w:rFonts w:eastAsia="Times New Roman" w:cs="Times New Roman"/>
          <w:sz w:val="24"/>
          <w:szCs w:val="24"/>
        </w:rPr>
        <w:t>ompatíve</w:t>
      </w:r>
      <w:r>
        <w:rPr>
          <w:rFonts w:eastAsia="Times New Roman" w:cs="Times New Roman"/>
          <w:sz w:val="24"/>
          <w:szCs w:val="24"/>
        </w:rPr>
        <w:t>is</w:t>
      </w:r>
      <w:r w:rsidRPr="008C6847">
        <w:rPr>
          <w:rFonts w:eastAsia="Times New Roman" w:cs="Times New Roman"/>
          <w:sz w:val="24"/>
          <w:szCs w:val="24"/>
        </w:rPr>
        <w:t xml:space="preserve"> com sistema operacional Microsoft Windows 10 e superior;</w:t>
      </w:r>
    </w:p>
    <w:p w14:paraId="13469E3B" w14:textId="77777777" w:rsidR="00E0208F" w:rsidRPr="00F76E9C"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00F76E9C">
        <w:rPr>
          <w:b/>
          <w:bCs/>
          <w:color w:val="auto"/>
        </w:rPr>
        <w:t>ADEQUAÇÃO ORÇAMENTÁRIA</w:t>
      </w:r>
    </w:p>
    <w:p w14:paraId="173103CB"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recursos dessa contratação estão consignados no orçamento da União para 20</w:t>
      </w:r>
      <w:r>
        <w:rPr>
          <w:color w:val="auto"/>
        </w:rPr>
        <w:t>22</w:t>
      </w:r>
      <w:r w:rsidRPr="679E79CE">
        <w:rPr>
          <w:color w:val="auto"/>
        </w:rPr>
        <w:t>, no Plano Interno</w:t>
      </w:r>
      <w:r w:rsidRPr="00F76E9C">
        <w:rPr>
          <w:color w:val="auto"/>
        </w:rPr>
        <w:t>A_COENG</w:t>
      </w:r>
      <w:r>
        <w:rPr>
          <w:color w:val="auto"/>
        </w:rPr>
        <w:t>.23.</w:t>
      </w:r>
      <w:r w:rsidRPr="00F76E9C">
        <w:rPr>
          <w:color w:val="auto"/>
        </w:rPr>
        <w:t>00</w:t>
      </w:r>
      <w:r w:rsidRPr="679E79CE">
        <w:rPr>
          <w:color w:val="auto"/>
        </w:rPr>
        <w:t xml:space="preserve">, PTRES </w:t>
      </w:r>
      <w:r>
        <w:rPr>
          <w:color w:val="auto"/>
        </w:rPr>
        <w:t xml:space="preserve">174664, </w:t>
      </w:r>
      <w:r w:rsidRPr="00237B05">
        <w:rPr>
          <w:color w:val="auto"/>
        </w:rPr>
        <w:t>UGR - Unidade Gestora Responsável</w:t>
      </w:r>
      <w:r>
        <w:rPr>
          <w:color w:val="auto"/>
        </w:rPr>
        <w:t xml:space="preserve">: </w:t>
      </w:r>
      <w:r w:rsidRPr="00237B05">
        <w:rPr>
          <w:color w:val="auto"/>
        </w:rPr>
        <w:t>593401</w:t>
      </w:r>
      <w:r>
        <w:rPr>
          <w:color w:val="auto"/>
        </w:rPr>
        <w:t>;</w:t>
      </w:r>
      <w:r w:rsidRPr="679E79CE">
        <w:rPr>
          <w:color w:val="auto"/>
        </w:rPr>
        <w:t xml:space="preserve"> e </w:t>
      </w:r>
      <w:proofErr w:type="spellStart"/>
      <w:r w:rsidRPr="679E79CE">
        <w:rPr>
          <w:color w:val="auto"/>
        </w:rPr>
        <w:t>Naturezade</w:t>
      </w:r>
      <w:proofErr w:type="spellEnd"/>
      <w:r w:rsidRPr="679E79CE">
        <w:rPr>
          <w:color w:val="auto"/>
        </w:rPr>
        <w:t xml:space="preserve"> Despesa </w:t>
      </w:r>
      <w:r w:rsidRPr="007C6B3A">
        <w:rPr>
          <w:color w:val="auto"/>
        </w:rPr>
        <w:t>33.90.40</w:t>
      </w:r>
      <w:r>
        <w:rPr>
          <w:color w:val="auto"/>
        </w:rPr>
        <w:t xml:space="preserve"> - s</w:t>
      </w:r>
      <w:r w:rsidRPr="0024743E">
        <w:rPr>
          <w:color w:val="auto"/>
        </w:rPr>
        <w:t>ubelemento 0</w:t>
      </w:r>
      <w:r>
        <w:rPr>
          <w:color w:val="auto"/>
        </w:rPr>
        <w:t>6</w:t>
      </w:r>
      <w:r w:rsidRPr="0024743E">
        <w:rPr>
          <w:color w:val="auto"/>
        </w:rPr>
        <w:t xml:space="preserve"> –</w:t>
      </w:r>
      <w:r w:rsidRPr="00237B05">
        <w:rPr>
          <w:color w:val="auto"/>
        </w:rPr>
        <w:t>LOCA</w:t>
      </w:r>
      <w:r>
        <w:rPr>
          <w:color w:val="auto"/>
        </w:rPr>
        <w:t>ÇÃO</w:t>
      </w:r>
      <w:r w:rsidRPr="00237B05">
        <w:rPr>
          <w:color w:val="auto"/>
        </w:rPr>
        <w:t xml:space="preserve"> DE SOFTWARES</w:t>
      </w:r>
      <w:r>
        <w:rPr>
          <w:color w:val="auto"/>
        </w:rPr>
        <w:t>.</w:t>
      </w:r>
    </w:p>
    <w:p w14:paraId="4E6B4BBA" w14:textId="77777777" w:rsidR="00E0208F" w:rsidRDefault="00E0208F" w:rsidP="00E0208F">
      <w:pPr>
        <w:pStyle w:val="Default"/>
        <w:spacing w:line="360" w:lineRule="auto"/>
        <w:jc w:val="both"/>
        <w:rPr>
          <w:color w:val="auto"/>
        </w:rPr>
      </w:pPr>
    </w:p>
    <w:p w14:paraId="0544F544" w14:textId="77777777" w:rsidR="00E0208F" w:rsidRPr="00F76E9C"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Pr>
          <w:b/>
          <w:bCs/>
          <w:color w:val="auto"/>
        </w:rPr>
        <w:t>PRAZO DE SUPORTE E FORMAS DE MANUTENÇÃO</w:t>
      </w:r>
    </w:p>
    <w:p w14:paraId="4181EB40" w14:textId="77777777" w:rsidR="00E0208F" w:rsidRPr="0098570D"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 xml:space="preserve">O fornecedor deverá garantir a </w:t>
      </w:r>
      <w:r w:rsidRPr="00050E40">
        <w:rPr>
          <w:color w:val="auto"/>
          <w:u w:val="single"/>
        </w:rPr>
        <w:t>autenticidade</w:t>
      </w:r>
      <w:r w:rsidRPr="0098570D">
        <w:rPr>
          <w:color w:val="auto"/>
        </w:rPr>
        <w:t xml:space="preserve"> do produto perante o fabricante.</w:t>
      </w:r>
    </w:p>
    <w:p w14:paraId="302ABCE9" w14:textId="77777777" w:rsidR="00E0208F" w:rsidRPr="0098570D"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Os produtos deverão ter suporte em todo o tempo de subscrição de 36 meses.</w:t>
      </w:r>
    </w:p>
    <w:p w14:paraId="729DF522" w14:textId="77777777" w:rsidR="00E0208F" w:rsidRPr="0098570D"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Durante o prazo de suporte, a Contratada obriga-se a manter os serviços de assistência técnica, contra qualquer defeito que venham a apresentar;</w:t>
      </w:r>
    </w:p>
    <w:p w14:paraId="30D205ED" w14:textId="77777777" w:rsidR="00E0208F" w:rsidRPr="0098570D"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O suporte incluirá a substituição do produto, que apresentou problemas decorrentes de falhas ou deficiências de desempenho, tudo sem qualquer ônus para o CNMP, no prazo de 24 horas.</w:t>
      </w:r>
    </w:p>
    <w:p w14:paraId="043A1038" w14:textId="77777777" w:rsidR="00E0208F" w:rsidRPr="0098570D"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O fornecedor deverá manter durante o todo o período do contrato as atualizações corretivas, evolutivas, de segurança e de versão do respectivo software, sem custos para o CNMP;</w:t>
      </w:r>
    </w:p>
    <w:p w14:paraId="428CF3E2" w14:textId="77777777" w:rsidR="00E0208F" w:rsidRPr="00C275FA"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98570D">
        <w:rPr>
          <w:color w:val="auto"/>
        </w:rPr>
        <w:t>A empresa fornecedora do produto será responsável pela substituição, troca ou reposição dos mesmos se, por</w:t>
      </w:r>
      <w:r>
        <w:rPr>
          <w:color w:val="auto"/>
        </w:rPr>
        <w:t>ventura</w:t>
      </w:r>
      <w:r w:rsidRPr="0098570D">
        <w:rPr>
          <w:color w:val="auto"/>
        </w:rPr>
        <w:t>, forem entregues em desacordo com o especificado no Termo de Referência</w:t>
      </w:r>
      <w:r>
        <w:rPr>
          <w:color w:val="auto"/>
        </w:rPr>
        <w:t>.</w:t>
      </w:r>
    </w:p>
    <w:p w14:paraId="34750024" w14:textId="77777777" w:rsidR="00E0208F" w:rsidRDefault="00E0208F" w:rsidP="00E0208F">
      <w:pPr>
        <w:pStyle w:val="Default"/>
        <w:spacing w:line="360" w:lineRule="auto"/>
        <w:jc w:val="both"/>
        <w:rPr>
          <w:color w:val="auto"/>
        </w:rPr>
      </w:pPr>
    </w:p>
    <w:p w14:paraId="07933328"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VIGÊNCIA DO CONTRATO</w:t>
      </w:r>
    </w:p>
    <w:p w14:paraId="351E4359"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794296">
        <w:rPr>
          <w:color w:val="auto"/>
        </w:rPr>
        <w:t xml:space="preserve">O contrato terá vigência por </w:t>
      </w:r>
      <w:r>
        <w:rPr>
          <w:color w:val="auto"/>
        </w:rPr>
        <w:t>36</w:t>
      </w:r>
      <w:r w:rsidRPr="00794296">
        <w:rPr>
          <w:color w:val="auto"/>
        </w:rPr>
        <w:t xml:space="preserve"> (</w:t>
      </w:r>
      <w:r>
        <w:rPr>
          <w:color w:val="auto"/>
        </w:rPr>
        <w:t>TRINTA E SEIS MESES</w:t>
      </w:r>
      <w:r w:rsidRPr="00794296">
        <w:rPr>
          <w:color w:val="auto"/>
        </w:rPr>
        <w:t xml:space="preserve">) meses, contados a partir da data </w:t>
      </w:r>
      <w:r>
        <w:rPr>
          <w:color w:val="auto"/>
        </w:rPr>
        <w:t>de 28/10/</w:t>
      </w:r>
      <w:proofErr w:type="gramStart"/>
      <w:r>
        <w:rPr>
          <w:color w:val="auto"/>
        </w:rPr>
        <w:t>2022</w:t>
      </w:r>
      <w:r w:rsidRPr="00794296">
        <w:rPr>
          <w:color w:val="auto"/>
        </w:rPr>
        <w:t>,</w:t>
      </w:r>
      <w:r w:rsidRPr="004E5C2E">
        <w:rPr>
          <w:color w:val="auto"/>
        </w:rPr>
        <w:t>terá</w:t>
      </w:r>
      <w:proofErr w:type="gramEnd"/>
      <w:r w:rsidRPr="004E5C2E">
        <w:rPr>
          <w:color w:val="auto"/>
        </w:rPr>
        <w:t xml:space="preserve"> vigência de 36 (trinta e seis) meses, não podendo ser prorrogado</w:t>
      </w:r>
      <w:r w:rsidRPr="00794296">
        <w:rPr>
          <w:color w:val="auto"/>
        </w:rPr>
        <w:t xml:space="preserve">. </w:t>
      </w:r>
    </w:p>
    <w:p w14:paraId="650A818D" w14:textId="77777777" w:rsidR="00E0208F" w:rsidRPr="003F3694"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003F3694">
        <w:rPr>
          <w:color w:val="auto"/>
        </w:rPr>
        <w:t>O prazo de 36 (trinta e seis) meses para a vigência do contrato justifica-se em razão das considerações apresentadas no item 2.</w:t>
      </w:r>
      <w:r>
        <w:rPr>
          <w:color w:val="auto"/>
        </w:rPr>
        <w:t>09</w:t>
      </w:r>
      <w:r w:rsidRPr="003F3694">
        <w:rPr>
          <w:color w:val="auto"/>
        </w:rPr>
        <w:t>.</w:t>
      </w:r>
    </w:p>
    <w:p w14:paraId="5F18DE5B" w14:textId="77777777" w:rsidR="00E0208F" w:rsidRPr="003F3694"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003F3694">
        <w:rPr>
          <w:color w:val="auto"/>
        </w:rPr>
        <w:lastRenderedPageBreak/>
        <w:t>O Termo de Recebimento Definitivo das subscrições será parte integrante do Contrato, independentemente de transcrição.</w:t>
      </w:r>
    </w:p>
    <w:p w14:paraId="5817249F" w14:textId="77777777" w:rsidR="00E0208F" w:rsidRPr="004E5C2E"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prazo para assinatura do instrumento contratual é de 5 (cinco) dias </w:t>
      </w:r>
      <w:proofErr w:type="spellStart"/>
      <w:proofErr w:type="gramStart"/>
      <w:r w:rsidRPr="679E79CE">
        <w:rPr>
          <w:color w:val="auto"/>
        </w:rPr>
        <w:t>úteis,a</w:t>
      </w:r>
      <w:proofErr w:type="spellEnd"/>
      <w:proofErr w:type="gramEnd"/>
      <w:r w:rsidRPr="679E79CE">
        <w:rPr>
          <w:color w:val="auto"/>
        </w:rPr>
        <w:t xml:space="preserve"> contar do recebimento da notificação, sob pena de decair o direito à contratação, sem prejuízo das penalidades previstas no Edital e seus anexos.</w:t>
      </w:r>
    </w:p>
    <w:p w14:paraId="0AE4C041" w14:textId="77777777" w:rsidR="00E0208F" w:rsidRPr="00C275FA" w:rsidRDefault="00E0208F" w:rsidP="00E0208F">
      <w:pPr>
        <w:pStyle w:val="Default"/>
        <w:spacing w:line="360" w:lineRule="auto"/>
        <w:jc w:val="both"/>
        <w:rPr>
          <w:color w:val="auto"/>
        </w:rPr>
      </w:pPr>
    </w:p>
    <w:p w14:paraId="04B044F3"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ENTREGA E CRITÉRIOS DE ACEITAÇÃO DO OBJETO</w:t>
      </w:r>
    </w:p>
    <w:p w14:paraId="7951CEC1"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O prazo para disponibilização das licenças será de no máximo 30 (trinta) dias corridos e contados a partir do recebimento, pela empresa, da ordem de fornecimento emitido pelo CNMP, ocorrendo, em comum acordo, de forma que o início do período de vigência das novas licenças corresponda ao término da vigência das licenças atualmente ativas.</w:t>
      </w:r>
    </w:p>
    <w:p w14:paraId="5275AFF5"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F64C14">
        <w:rPr>
          <w:color w:val="auto"/>
        </w:rPr>
        <w:t xml:space="preserve">O recebimento se dará, provisoriamente, no prazo de até 10(dez) dias corridos após a disponibilização da licença no portal </w:t>
      </w:r>
      <w:r>
        <w:rPr>
          <w:color w:val="auto"/>
        </w:rPr>
        <w:t xml:space="preserve">próprio </w:t>
      </w:r>
      <w:r w:rsidRPr="00F64C14">
        <w:rPr>
          <w:color w:val="auto"/>
        </w:rPr>
        <w:t xml:space="preserve">de licenciamento </w:t>
      </w:r>
      <w:proofErr w:type="spellStart"/>
      <w:r w:rsidRPr="00F64C14">
        <w:rPr>
          <w:color w:val="auto"/>
        </w:rPr>
        <w:t>da</w:t>
      </w:r>
      <w:r w:rsidRPr="006B2432">
        <w:rPr>
          <w:i/>
          <w:iCs/>
          <w:color w:val="auto"/>
        </w:rPr>
        <w:t>Autodesk</w:t>
      </w:r>
      <w:proofErr w:type="spellEnd"/>
      <w:r w:rsidRPr="006B2432">
        <w:rPr>
          <w:i/>
          <w:iCs/>
          <w:color w:val="auto"/>
        </w:rPr>
        <w:t xml:space="preserve"> </w:t>
      </w:r>
      <w:proofErr w:type="spellStart"/>
      <w:proofErr w:type="gramStart"/>
      <w:r w:rsidRPr="006B2432">
        <w:rPr>
          <w:i/>
          <w:iCs/>
          <w:color w:val="auto"/>
        </w:rPr>
        <w:t>Inc.</w:t>
      </w:r>
      <w:r w:rsidRPr="00F64C14">
        <w:rPr>
          <w:color w:val="auto"/>
        </w:rPr>
        <w:t>,</w:t>
      </w:r>
      <w:r w:rsidRPr="0029716D">
        <w:rPr>
          <w:color w:val="auto"/>
        </w:rPr>
        <w:t>para</w:t>
      </w:r>
      <w:proofErr w:type="spellEnd"/>
      <w:proofErr w:type="gramEnd"/>
      <w:r w:rsidRPr="0029716D">
        <w:rPr>
          <w:color w:val="auto"/>
        </w:rPr>
        <w:t xml:space="preserve"> posterior verificação da conformidade com as especificações contidas neste termo de referência e na proposta.</w:t>
      </w:r>
    </w:p>
    <w:p w14:paraId="07EC2EF0"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6080A">
        <w:rPr>
          <w:color w:val="auto"/>
        </w:rPr>
        <w:t>O recebimento</w:t>
      </w:r>
      <w:r w:rsidRPr="003F3694">
        <w:rPr>
          <w:color w:val="auto"/>
        </w:rPr>
        <w:t xml:space="preserve"> definitivo se dará em até 5 (cinco) dias úteis contados do recebimento provisório e da verificação de que os produtos foram entregues de acordo com as condições e especificações deste Termo de Referência</w:t>
      </w:r>
      <w:r>
        <w:rPr>
          <w:color w:val="auto"/>
        </w:rPr>
        <w:t xml:space="preserve">, incluindo o fornecimento/apresentação do certificado das licenças emitido pela </w:t>
      </w:r>
      <w:proofErr w:type="spellStart"/>
      <w:r>
        <w:rPr>
          <w:color w:val="auto"/>
        </w:rPr>
        <w:t>AutoDesk</w:t>
      </w:r>
      <w:proofErr w:type="spellEnd"/>
      <w:r>
        <w:rPr>
          <w:color w:val="auto"/>
        </w:rPr>
        <w:t xml:space="preserve"> em nome do Conselho Nacional do Ministério Público – CNMP, atendendo as especificações e exigências estipuladas neste Termo</w:t>
      </w:r>
      <w:r w:rsidRPr="003F3694">
        <w:rPr>
          <w:color w:val="auto"/>
        </w:rPr>
        <w:t>.</w:t>
      </w:r>
    </w:p>
    <w:p w14:paraId="0AD15401"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A partir do recebimento definitivo, o fornecedor deve apresentar documento fiscal válido correspondente ao fornecimento.</w:t>
      </w:r>
    </w:p>
    <w:p w14:paraId="1B90614A"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Nos casos de recusa das licenças, o licitante vencedor terá o prazo de 10 (dez) dias úteis para providenciar a substituição, contados a partir da comunicação feita pelo CNMP.</w:t>
      </w:r>
    </w:p>
    <w:p w14:paraId="0CF10CD5"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Os softwares entregues em desacordo com o especificado neste Termo de Referência e na proposta da Contratada serão rejeitados parcialmente ou totalmente, conforme o caso, obrigando-se a Contratada a substituí-los no prazo assinado pelo CNMP, sob pena de ser considerada em atraso quanto ao prazo de entrega.</w:t>
      </w:r>
    </w:p>
    <w:p w14:paraId="1685FCA8"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lastRenderedPageBreak/>
        <w:t>Os softwares, mesmo entregue e recebidos, ficam sujeitos à substituição pela Contratada, desde que comprovada a existência de problemas cuja verificação só seja possível ocorrer no decorrer da utilização destes.</w:t>
      </w:r>
    </w:p>
    <w:p w14:paraId="2D3A7221"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Será considerada recusa formal da Contratada a não disponibilização das licenças no prazo estabelecido, salvo motivo de força maior ou caso fortuito, assim reconhecido pela Contratante</w:t>
      </w:r>
    </w:p>
    <w:p w14:paraId="36391F33" w14:textId="77777777" w:rsidR="00E0208F"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679E79CE">
        <w:rPr>
          <w:color w:val="auto"/>
        </w:rPr>
        <w:t xml:space="preserve">O recebimento provisório ou definitivo </w:t>
      </w:r>
      <w:r>
        <w:rPr>
          <w:color w:val="auto"/>
        </w:rPr>
        <w:t>do serviço prestado</w:t>
      </w:r>
      <w:r w:rsidRPr="679E79CE">
        <w:rPr>
          <w:color w:val="auto"/>
        </w:rPr>
        <w:t xml:space="preserve"> não exclui a responsabilidade da </w:t>
      </w:r>
      <w:r>
        <w:rPr>
          <w:color w:val="auto"/>
        </w:rPr>
        <w:t>C</w:t>
      </w:r>
      <w:r w:rsidRPr="679E79CE">
        <w:rPr>
          <w:color w:val="auto"/>
        </w:rPr>
        <w:t xml:space="preserve">ontratada pelos prejuízos resultantes da incorreta execução </w:t>
      </w:r>
      <w:proofErr w:type="spellStart"/>
      <w:r w:rsidRPr="679E79CE">
        <w:rPr>
          <w:color w:val="auto"/>
        </w:rPr>
        <w:t>docontrato</w:t>
      </w:r>
      <w:proofErr w:type="spellEnd"/>
      <w:r w:rsidRPr="679E79CE">
        <w:rPr>
          <w:color w:val="auto"/>
        </w:rPr>
        <w:t>.</w:t>
      </w:r>
    </w:p>
    <w:p w14:paraId="486EBEBE" w14:textId="77777777" w:rsidR="00E0208F" w:rsidRPr="00C275FA"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5058DD">
        <w:rPr>
          <w:color w:val="auto"/>
        </w:rPr>
        <w:t>O serviço deverá ser prestado nas condições especificadas neste Termo de Referência</w:t>
      </w:r>
      <w:r>
        <w:rPr>
          <w:color w:val="auto"/>
        </w:rPr>
        <w:t>.</w:t>
      </w:r>
    </w:p>
    <w:p w14:paraId="5B986958" w14:textId="77777777" w:rsidR="00E0208F" w:rsidRPr="00C275FA" w:rsidRDefault="00E0208F" w:rsidP="00E0208F">
      <w:pPr>
        <w:pStyle w:val="Default"/>
        <w:spacing w:line="360" w:lineRule="auto"/>
        <w:ind w:firstLine="709"/>
        <w:jc w:val="both"/>
        <w:rPr>
          <w:color w:val="auto"/>
        </w:rPr>
      </w:pPr>
    </w:p>
    <w:p w14:paraId="010E4B82"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LOCAL PARA PRESTAÇÃO DO SERVIÇO</w:t>
      </w:r>
    </w:p>
    <w:p w14:paraId="1C737B57" w14:textId="77777777" w:rsidR="00E0208F" w:rsidRPr="00C275FA"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679E79CE">
        <w:rPr>
          <w:color w:val="auto"/>
        </w:rPr>
        <w:t>O serviço deve</w:t>
      </w:r>
      <w:r>
        <w:rPr>
          <w:color w:val="auto"/>
        </w:rPr>
        <w:t>rá</w:t>
      </w:r>
      <w:r w:rsidRPr="679E79CE">
        <w:rPr>
          <w:color w:val="auto"/>
        </w:rPr>
        <w:t xml:space="preserve"> ser prestado</w:t>
      </w:r>
      <w:r w:rsidRPr="003834CA">
        <w:rPr>
          <w:color w:val="auto"/>
        </w:rPr>
        <w:t xml:space="preserve">, </w:t>
      </w:r>
      <w:proofErr w:type="spellStart"/>
      <w:proofErr w:type="gramStart"/>
      <w:r w:rsidRPr="003834CA">
        <w:rPr>
          <w:color w:val="auto"/>
        </w:rPr>
        <w:t>preferencialmente,de</w:t>
      </w:r>
      <w:proofErr w:type="spellEnd"/>
      <w:proofErr w:type="gramEnd"/>
      <w:r w:rsidRPr="003834CA">
        <w:rPr>
          <w:color w:val="auto"/>
        </w:rPr>
        <w:t xml:space="preserve"> forma remota ou, quando </w:t>
      </w:r>
      <w:proofErr w:type="spellStart"/>
      <w:r w:rsidRPr="003834CA">
        <w:rPr>
          <w:color w:val="auto"/>
        </w:rPr>
        <w:t>necessário,</w:t>
      </w:r>
      <w:r w:rsidRPr="679E79CE">
        <w:rPr>
          <w:color w:val="auto"/>
        </w:rPr>
        <w:t>nas</w:t>
      </w:r>
      <w:proofErr w:type="spellEnd"/>
      <w:r w:rsidRPr="679E79CE">
        <w:rPr>
          <w:color w:val="auto"/>
        </w:rPr>
        <w:t xml:space="preserve"> dependências do CNMP – Conselho Nacional do Ministério Público, localizado no SAFS – Setor de Administração Federal Sul –Quadra 02 – Lote 03, Edifício Adail Belmonte, Brasília/DF, CEP 70070-600. Em eventual mudança da sede do CNMP para outro local em Brasília-DF, não deverá ser interrompida a prestação do serviço nas mesmas condições estabelecidas neste Termo de Referência;</w:t>
      </w:r>
    </w:p>
    <w:p w14:paraId="154F8C87"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O prazo para prestação dos serviços de suporte e manutenção será de 36 (trinta e seis) meses contados a partir do recebimento definitivo das subscrições pela CONTRATANTE;</w:t>
      </w:r>
    </w:p>
    <w:p w14:paraId="27CEE6CE" w14:textId="77777777" w:rsidR="00E0208F" w:rsidRPr="003F3694"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sidRPr="003F3694">
        <w:rPr>
          <w:color w:val="auto"/>
        </w:rPr>
        <w:t xml:space="preserve"> O serviço deverá ser prestado nas condições especificadas neste Termo de Referência.</w:t>
      </w:r>
    </w:p>
    <w:p w14:paraId="4779412B" w14:textId="77777777" w:rsidR="00E0208F" w:rsidRPr="00C275FA" w:rsidRDefault="00E0208F" w:rsidP="00E0208F">
      <w:pPr>
        <w:pStyle w:val="Default"/>
        <w:spacing w:line="360" w:lineRule="auto"/>
        <w:jc w:val="both"/>
        <w:rPr>
          <w:color w:val="auto"/>
        </w:rPr>
      </w:pPr>
    </w:p>
    <w:p w14:paraId="11C5E607"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DO CONTRATANTE</w:t>
      </w:r>
    </w:p>
    <w:p w14:paraId="70165CC7"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Proporcionar as facilidades </w:t>
      </w:r>
      <w:r>
        <w:rPr>
          <w:color w:val="auto"/>
        </w:rPr>
        <w:t>indispensáveis</w:t>
      </w:r>
      <w:r w:rsidRPr="679E79CE">
        <w:rPr>
          <w:color w:val="auto"/>
        </w:rPr>
        <w:t xml:space="preserve"> à execução das obrigações contratuais;</w:t>
      </w:r>
    </w:p>
    <w:p w14:paraId="24F22E03"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Receber o objeto no prazo e condições estabelecidas;</w:t>
      </w:r>
    </w:p>
    <w:p w14:paraId="79DBFC55"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Verificar, no prazo fixado, a conformidade do serviço realizado com as especificações, para fins de aceitação e recebimento;</w:t>
      </w:r>
    </w:p>
    <w:p w14:paraId="076C4184"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Comunicar à CONTRATADA, por escrito, sobre imperfeições, falhas ou irregularidades verificadas no serviço realizado, fixando prazo para que seja reparado ou corrigido;</w:t>
      </w:r>
    </w:p>
    <w:p w14:paraId="5F1A2983"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Efetuar o pagamento à CONTRATADA no valor correspondente ao serviço, no prazo e forma estabelecidos;</w:t>
      </w:r>
    </w:p>
    <w:p w14:paraId="09B76826"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Administração não responderá por quaisquer compromissos assumidos pela CONTRATADA com terceiros, ainda que vinculados à execução </w:t>
      </w:r>
      <w:proofErr w:type="spellStart"/>
      <w:r w:rsidRPr="679E79CE">
        <w:rPr>
          <w:color w:val="auto"/>
        </w:rPr>
        <w:t>dopresente</w:t>
      </w:r>
      <w:proofErr w:type="spellEnd"/>
      <w:r w:rsidRPr="679E79CE">
        <w:rPr>
          <w:color w:val="auto"/>
        </w:rPr>
        <w:t xml:space="preserve"> contrato/objeto, bem como por qualquer dano causado a terceiros em decorrência de ato da CONTRATADA, de seus empregados, prepostos </w:t>
      </w:r>
      <w:proofErr w:type="spellStart"/>
      <w:r w:rsidRPr="679E79CE">
        <w:rPr>
          <w:color w:val="auto"/>
        </w:rPr>
        <w:t>ousubordinados</w:t>
      </w:r>
      <w:proofErr w:type="spellEnd"/>
      <w:r w:rsidRPr="679E79CE">
        <w:rPr>
          <w:color w:val="auto"/>
        </w:rPr>
        <w:t>;</w:t>
      </w:r>
    </w:p>
    <w:p w14:paraId="5C234050"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Aplicar as sanções, conforme previsto no termo de referência (e/ou outros instrumentos adequados, como edital e </w:t>
      </w:r>
      <w:r>
        <w:rPr>
          <w:color w:val="auto"/>
        </w:rPr>
        <w:t>C</w:t>
      </w:r>
      <w:r w:rsidRPr="679E79CE">
        <w:rPr>
          <w:color w:val="auto"/>
        </w:rPr>
        <w:t>ontrato);</w:t>
      </w:r>
    </w:p>
    <w:p w14:paraId="4F6713FB" w14:textId="77777777" w:rsidR="00E0208F" w:rsidRPr="007E6654"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7E6654">
        <w:rPr>
          <w:color w:val="auto"/>
        </w:rPr>
        <w:t xml:space="preserve">Assegurar o livre acesso dos empregados da CONTRATADA, no período de expediente do CNMP, nos dias úteis, desde que </w:t>
      </w:r>
      <w:proofErr w:type="spellStart"/>
      <w:r w:rsidRPr="007E6654">
        <w:rPr>
          <w:color w:val="auto"/>
        </w:rPr>
        <w:t>devidamenteidentificados</w:t>
      </w:r>
      <w:proofErr w:type="spellEnd"/>
      <w:r w:rsidRPr="007E6654">
        <w:rPr>
          <w:color w:val="auto"/>
        </w:rPr>
        <w:t xml:space="preserve">, aos locais em que devam executar suas tarefas, sendo vedada, salvo se por autorização expressa do CONTRATANTE, o trânsito em áreas </w:t>
      </w:r>
      <w:proofErr w:type="spellStart"/>
      <w:r w:rsidRPr="007E6654">
        <w:rPr>
          <w:color w:val="auto"/>
        </w:rPr>
        <w:t>estranhasàs</w:t>
      </w:r>
      <w:proofErr w:type="spellEnd"/>
      <w:r w:rsidRPr="007E6654">
        <w:rPr>
          <w:color w:val="auto"/>
        </w:rPr>
        <w:t xml:space="preserve"> suas atividades;</w:t>
      </w:r>
    </w:p>
    <w:p w14:paraId="407652A2"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Prestar todas as informações e esclarecimentos pertinentes ao serviço que venham a ser solicitadas pelos técnicos </w:t>
      </w:r>
      <w:proofErr w:type="spellStart"/>
      <w:r w:rsidRPr="679E79CE">
        <w:rPr>
          <w:color w:val="auto"/>
        </w:rPr>
        <w:t>daCONTRATADA</w:t>
      </w:r>
      <w:proofErr w:type="spellEnd"/>
      <w:r w:rsidRPr="679E79CE">
        <w:rPr>
          <w:color w:val="auto"/>
        </w:rPr>
        <w:t>;</w:t>
      </w:r>
    </w:p>
    <w:p w14:paraId="164CF183" w14:textId="77777777" w:rsidR="00E0208F" w:rsidRPr="00412B95" w:rsidRDefault="00E0208F" w:rsidP="00E0208F">
      <w:pPr>
        <w:pStyle w:val="Default"/>
        <w:numPr>
          <w:ilvl w:val="1"/>
          <w:numId w:val="37"/>
        </w:numPr>
        <w:tabs>
          <w:tab w:val="left" w:pos="284"/>
        </w:tabs>
        <w:suppressAutoHyphens w:val="0"/>
        <w:autoSpaceDE w:val="0"/>
        <w:autoSpaceDN w:val="0"/>
        <w:adjustRightInd w:val="0"/>
        <w:spacing w:line="360" w:lineRule="auto"/>
        <w:ind w:left="0" w:firstLine="709"/>
        <w:jc w:val="both"/>
        <w:textAlignment w:val="auto"/>
        <w:rPr>
          <w:color w:val="auto"/>
        </w:rPr>
      </w:pPr>
      <w:r w:rsidRPr="00412B95">
        <w:rPr>
          <w:color w:val="auto"/>
        </w:rPr>
        <w:t xml:space="preserve">Ordenar a imediata substituição de empregado da CONTRATADA que atrapalhar ou dificultar a fiscalização, </w:t>
      </w:r>
      <w:r>
        <w:rPr>
          <w:color w:val="auto"/>
        </w:rPr>
        <w:t xml:space="preserve">cujos serviços sejam prestados com qualidade abaixo da esperada ou com problemas reiterados, </w:t>
      </w:r>
      <w:r w:rsidRPr="00412B95">
        <w:rPr>
          <w:color w:val="auto"/>
        </w:rPr>
        <w:t>ou cuja conduta esteja inadequada, a critério do CNMP;</w:t>
      </w:r>
    </w:p>
    <w:p w14:paraId="20D9EE35"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Anotar em registro próprio e notificar à CONTRATADA, por escrito, a ocorrência de eventuais imperfeições no curso de execução do </w:t>
      </w:r>
      <w:proofErr w:type="spellStart"/>
      <w:proofErr w:type="gramStart"/>
      <w:r w:rsidRPr="679E79CE">
        <w:rPr>
          <w:color w:val="auto"/>
        </w:rPr>
        <w:t>serviço,fixando</w:t>
      </w:r>
      <w:proofErr w:type="spellEnd"/>
      <w:proofErr w:type="gramEnd"/>
      <w:r w:rsidRPr="679E79CE">
        <w:rPr>
          <w:color w:val="auto"/>
        </w:rPr>
        <w:t xml:space="preserve"> prazo para a sua correção.</w:t>
      </w:r>
    </w:p>
    <w:p w14:paraId="639422E5" w14:textId="77777777" w:rsidR="00E0208F" w:rsidRPr="00C275FA" w:rsidRDefault="00E0208F" w:rsidP="00E0208F">
      <w:pPr>
        <w:pStyle w:val="Default"/>
        <w:spacing w:line="360" w:lineRule="auto"/>
        <w:ind w:firstLine="709"/>
        <w:jc w:val="both"/>
        <w:rPr>
          <w:color w:val="auto"/>
        </w:rPr>
      </w:pPr>
    </w:p>
    <w:p w14:paraId="450B9B82"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DA CONTRATADA</w:t>
      </w:r>
    </w:p>
    <w:p w14:paraId="6959AEC7"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w:t>
      </w:r>
      <w:proofErr w:type="spellStart"/>
      <w:r w:rsidRPr="679E79CE">
        <w:rPr>
          <w:color w:val="auto"/>
        </w:rPr>
        <w:t>CONTRATADAdeve</w:t>
      </w:r>
      <w:proofErr w:type="spellEnd"/>
      <w:r w:rsidRPr="679E79CE">
        <w:rPr>
          <w:color w:val="auto"/>
        </w:rPr>
        <w:t xml:space="preserve"> cumprir todas as obrigações constantes no termo de referência e sua proposta, assumindo como exclusivamente seus os </w:t>
      </w:r>
      <w:proofErr w:type="spellStart"/>
      <w:r w:rsidRPr="679E79CE">
        <w:rPr>
          <w:color w:val="auto"/>
        </w:rPr>
        <w:t>riscose</w:t>
      </w:r>
      <w:proofErr w:type="spellEnd"/>
      <w:r w:rsidRPr="679E79CE">
        <w:rPr>
          <w:color w:val="auto"/>
        </w:rPr>
        <w:t xml:space="preserve"> as despesas decorrentes da boa e perfeita execução do objeto e, ainda:</w:t>
      </w:r>
    </w:p>
    <w:p w14:paraId="3092FF5B"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Realizar o serviço em perfeitas condições, conforme especificações, prazo</w:t>
      </w:r>
      <w:r>
        <w:rPr>
          <w:color w:val="auto"/>
        </w:rPr>
        <w:t>s</w:t>
      </w:r>
      <w:r w:rsidRPr="679E79CE">
        <w:rPr>
          <w:color w:val="auto"/>
        </w:rPr>
        <w:t xml:space="preserve"> e local constantes no termo de referência;</w:t>
      </w:r>
    </w:p>
    <w:p w14:paraId="125B1197"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 relacionar-se com o CONTRATANTE exclusivamente por meio do fiscal do contrato e</w:t>
      </w:r>
      <w:r>
        <w:rPr>
          <w:color w:val="auto"/>
        </w:rPr>
        <w:t>,</w:t>
      </w:r>
      <w:r w:rsidRPr="679E79CE">
        <w:rPr>
          <w:color w:val="auto"/>
        </w:rPr>
        <w:t xml:space="preserve"> preferencialmente, por escrito;</w:t>
      </w:r>
    </w:p>
    <w:p w14:paraId="4ABE84ED"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A CONTRATADA deverá prestar esclarecimentos ao CNMP e sujeitar-se às orientações do fiscal do contrato;</w:t>
      </w:r>
    </w:p>
    <w:p w14:paraId="09FE6559" w14:textId="77777777" w:rsidR="00E0208F" w:rsidRPr="00A440A7"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00A440A7">
        <w:rPr>
          <w:color w:val="auto"/>
        </w:rPr>
        <w:t xml:space="preserve">A CONTRATADA é obrigada a reparar, corrigir, remover, reconstruir ou substituir, às suas expensas, no total ou em parte, o objeto do contrato </w:t>
      </w:r>
      <w:proofErr w:type="spellStart"/>
      <w:r w:rsidRPr="00A440A7">
        <w:rPr>
          <w:color w:val="auto"/>
        </w:rPr>
        <w:t>emque</w:t>
      </w:r>
      <w:proofErr w:type="spellEnd"/>
      <w:r w:rsidRPr="00A440A7">
        <w:rPr>
          <w:color w:val="auto"/>
        </w:rPr>
        <w:t xml:space="preserve"> se verificarem vícios, defeitos, avarias ou incorreções resultantes da execução ou de materiais empregados, no prazo de 2 (dois)dias úteis;</w:t>
      </w:r>
    </w:p>
    <w:p w14:paraId="7F82B45C"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Relatar ao CONTRATANTE, no máximo </w:t>
      </w:r>
      <w:r>
        <w:rPr>
          <w:rFonts w:eastAsia="Arial"/>
        </w:rPr>
        <w:t>até as 19h00 do dia útil seguinte</w:t>
      </w:r>
      <w:r w:rsidRPr="00A440A7">
        <w:rPr>
          <w:color w:val="auto"/>
        </w:rPr>
        <w:t>, irregularidades ocorridas que impeçam, alterem ou ret</w:t>
      </w:r>
      <w:r w:rsidRPr="679E79CE">
        <w:rPr>
          <w:color w:val="auto"/>
        </w:rPr>
        <w:t xml:space="preserve">ardem a execução </w:t>
      </w:r>
      <w:proofErr w:type="spellStart"/>
      <w:r w:rsidRPr="679E79CE">
        <w:rPr>
          <w:color w:val="auto"/>
        </w:rPr>
        <w:t>docontrato</w:t>
      </w:r>
      <w:proofErr w:type="spellEnd"/>
      <w:r w:rsidRPr="679E79CE">
        <w:rPr>
          <w:color w:val="auto"/>
        </w:rPr>
        <w:t xml:space="preserve">, efetuando o registro da ocorrência com todos os dados e circunstâncias necessárias a seu esclarecimento, sem prejuízo da análise </w:t>
      </w:r>
      <w:proofErr w:type="spellStart"/>
      <w:r w:rsidRPr="679E79CE">
        <w:rPr>
          <w:color w:val="auto"/>
        </w:rPr>
        <w:t>daadministração</w:t>
      </w:r>
      <w:proofErr w:type="spellEnd"/>
      <w:r w:rsidRPr="679E79CE">
        <w:rPr>
          <w:color w:val="auto"/>
        </w:rPr>
        <w:t xml:space="preserve"> e das sanções previstas;</w:t>
      </w:r>
    </w:p>
    <w:p w14:paraId="544E33FE"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Manter, durante toda a execução do contrato, em compatibilidade com as obrigações por ele assumidas, todas as condições de habilitação </w:t>
      </w:r>
      <w:proofErr w:type="spellStart"/>
      <w:r w:rsidRPr="679E79CE">
        <w:rPr>
          <w:color w:val="auto"/>
        </w:rPr>
        <w:t>equalificação</w:t>
      </w:r>
      <w:proofErr w:type="spellEnd"/>
      <w:r w:rsidRPr="679E79CE">
        <w:rPr>
          <w:color w:val="auto"/>
        </w:rPr>
        <w:t xml:space="preserve"> exigidas na licitação (Art. 55, XVIII Lei 8.666/93);</w:t>
      </w:r>
    </w:p>
    <w:p w14:paraId="572D79CE"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CONTRATADA é responsável pelos danos causados diretamente à Administração ou a terceiros, decorrentes de sua culpa ou dolo na </w:t>
      </w:r>
      <w:proofErr w:type="spellStart"/>
      <w:r w:rsidRPr="679E79CE">
        <w:rPr>
          <w:color w:val="auto"/>
        </w:rPr>
        <w:t>execuçãodo</w:t>
      </w:r>
      <w:proofErr w:type="spellEnd"/>
      <w:r w:rsidRPr="679E79CE">
        <w:rPr>
          <w:color w:val="auto"/>
        </w:rPr>
        <w:t xml:space="preserve"> contrato (Art. 70 Lei 8.666/93);</w:t>
      </w:r>
    </w:p>
    <w:p w14:paraId="06A6A836"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é obrigada a disponibilizar e manter atualizados conta de e-mail, endereço e telefones comerciais para fins de comunicação formal entre as partes;</w:t>
      </w:r>
    </w:p>
    <w:p w14:paraId="428FC0F6"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caucionar ou utilizar o contrato para quaisquer operações financeiras;</w:t>
      </w:r>
    </w:p>
    <w:p w14:paraId="1FEA70B1"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É vedado à CONTRATADA utilizar o nome do CONTRATANTE, ou sua qualidade de CONTRATADA, em quaisquer atividades de </w:t>
      </w:r>
      <w:proofErr w:type="spellStart"/>
      <w:r w:rsidRPr="679E79CE">
        <w:rPr>
          <w:color w:val="auto"/>
        </w:rPr>
        <w:t>divulgaçãoempresarial</w:t>
      </w:r>
      <w:proofErr w:type="spellEnd"/>
      <w:r w:rsidRPr="679E79CE">
        <w:rPr>
          <w:color w:val="auto"/>
        </w:rPr>
        <w:t>, como, por exemplo, em cartões de visita, anúncios e impressos;</w:t>
      </w:r>
    </w:p>
    <w:p w14:paraId="7FF1E92C" w14:textId="77777777" w:rsidR="00E0208F" w:rsidRPr="00C275FA"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É vedado à CONTRATADA reproduzir, divulgar ou utilizar, em benefício próprio ou de terceiros, quaisquer informações de que tenha </w:t>
      </w:r>
      <w:proofErr w:type="spellStart"/>
      <w:r w:rsidRPr="679E79CE">
        <w:rPr>
          <w:color w:val="auto"/>
        </w:rPr>
        <w:t>tomadociência</w:t>
      </w:r>
      <w:proofErr w:type="spellEnd"/>
      <w:r w:rsidRPr="679E79CE">
        <w:rPr>
          <w:color w:val="auto"/>
        </w:rPr>
        <w:t xml:space="preserve"> em razão da execução dos serviços sem o consentimento prévio e por escrito do CONTRATANTE.</w:t>
      </w:r>
    </w:p>
    <w:p w14:paraId="7E8B49FF" w14:textId="77777777" w:rsidR="00E0208F" w:rsidRPr="00044548" w:rsidRDefault="00E0208F" w:rsidP="00E0208F">
      <w:pPr>
        <w:pStyle w:val="Default"/>
        <w:spacing w:line="360" w:lineRule="auto"/>
        <w:jc w:val="both"/>
        <w:rPr>
          <w:color w:val="auto"/>
          <w:szCs w:val="16"/>
        </w:rPr>
      </w:pPr>
    </w:p>
    <w:p w14:paraId="40A2B625"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SUBCONTRATAÇÃO</w:t>
      </w:r>
    </w:p>
    <w:p w14:paraId="3D3282AE"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Não será admitida a subcontratação do objeto licitatório.</w:t>
      </w:r>
    </w:p>
    <w:p w14:paraId="55CC33DD"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vedada a sub-rogação completa ou da parcela principal da obrigação.</w:t>
      </w:r>
    </w:p>
    <w:p w14:paraId="15EE7948" w14:textId="77777777" w:rsidR="00E0208F" w:rsidRPr="00C275FA" w:rsidRDefault="00E0208F" w:rsidP="00E0208F">
      <w:pPr>
        <w:pStyle w:val="Default"/>
        <w:spacing w:line="360" w:lineRule="auto"/>
        <w:ind w:firstLine="709"/>
        <w:jc w:val="both"/>
        <w:rPr>
          <w:color w:val="auto"/>
        </w:rPr>
      </w:pPr>
    </w:p>
    <w:p w14:paraId="78AF8A62"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lastRenderedPageBreak/>
        <w:t>CRITÉRIOS PARA JULGAMENTO E ELABORAÇÃO DAS PROPOSTAS</w:t>
      </w:r>
    </w:p>
    <w:p w14:paraId="015CB988"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1342C2">
        <w:rPr>
          <w:color w:val="auto"/>
        </w:rPr>
        <w:t xml:space="preserve">O regime de execução será </w:t>
      </w:r>
      <w:proofErr w:type="gramStart"/>
      <w:r w:rsidRPr="001342C2">
        <w:rPr>
          <w:color w:val="auto"/>
        </w:rPr>
        <w:t>empreitada</w:t>
      </w:r>
      <w:proofErr w:type="gramEnd"/>
      <w:r w:rsidRPr="001342C2">
        <w:rPr>
          <w:color w:val="auto"/>
        </w:rPr>
        <w:t xml:space="preserve"> por preço global e tipo menor preço por </w:t>
      </w:r>
      <w:r>
        <w:rPr>
          <w:color w:val="auto"/>
        </w:rPr>
        <w:t>item;</w:t>
      </w:r>
    </w:p>
    <w:p w14:paraId="5D46477C"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proposta apresentada deverá conter o CNPJ da proponente, prazo de validade e ser endereçada ao Conselho Nacional do Ministério Público – CNMP;</w:t>
      </w:r>
    </w:p>
    <w:p w14:paraId="6C3138E9" w14:textId="77777777" w:rsidR="00E0208F" w:rsidRPr="00E74312" w:rsidRDefault="00E0208F" w:rsidP="00E0208F">
      <w:pPr>
        <w:pStyle w:val="PargrafodaLista"/>
        <w:numPr>
          <w:ilvl w:val="2"/>
          <w:numId w:val="37"/>
        </w:numPr>
        <w:suppressAutoHyphens w:val="0"/>
        <w:spacing w:after="200" w:line="276" w:lineRule="auto"/>
        <w:contextualSpacing/>
        <w:jc w:val="both"/>
        <w:textAlignment w:val="auto"/>
        <w:rPr>
          <w:rFonts w:eastAsia="Times New Roman" w:cs="Times New Roman"/>
          <w:sz w:val="24"/>
          <w:szCs w:val="24"/>
        </w:rPr>
      </w:pPr>
      <w:r w:rsidRPr="00D84EBD">
        <w:rPr>
          <w:rFonts w:eastAsia="Times New Roman" w:cs="Times New Roman"/>
          <w:sz w:val="24"/>
          <w:szCs w:val="24"/>
        </w:rPr>
        <w:t>Nos preços da proposta, sempre em moeda nacional, deverão estar inclusas todas as despesas e custos diretos e indiretos, tais como impostos, taxas, fretes, impostos, garantia e serviços de instalação, testes, salários, encargos sociais, fiscais e comerciais, e outras despesas incidentes que possam influir direta ou indiretamente nos custos de execução dos serviços, deduzidos descontos eventualmente concedidos</w:t>
      </w:r>
      <w:r>
        <w:rPr>
          <w:rFonts w:eastAsia="Times New Roman" w:cs="Times New Roman"/>
          <w:sz w:val="24"/>
          <w:szCs w:val="24"/>
        </w:rPr>
        <w:t>.</w:t>
      </w:r>
    </w:p>
    <w:p w14:paraId="37613848"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0012AD">
        <w:rPr>
          <w:color w:val="auto"/>
        </w:rPr>
        <w:t>O julgame</w:t>
      </w:r>
      <w:r>
        <w:rPr>
          <w:color w:val="auto"/>
        </w:rPr>
        <w:t>n</w:t>
      </w:r>
      <w:r w:rsidRPr="000012AD">
        <w:rPr>
          <w:color w:val="auto"/>
        </w:rPr>
        <w:t xml:space="preserve">to das propostas se dará </w:t>
      </w:r>
      <w:r>
        <w:rPr>
          <w:color w:val="auto"/>
        </w:rPr>
        <w:t>pel</w:t>
      </w:r>
      <w:r w:rsidRPr="000012AD">
        <w:rPr>
          <w:color w:val="auto"/>
        </w:rPr>
        <w:t>o menor preço por item.</w:t>
      </w:r>
    </w:p>
    <w:p w14:paraId="27B902E4"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As proponentes deverão apresentar preços unitários e totais, conforme quadro abaixo:</w:t>
      </w:r>
    </w:p>
    <w:p w14:paraId="7FB0AB68" w14:textId="77777777" w:rsidR="00E0208F" w:rsidRPr="00C275FA" w:rsidRDefault="00E0208F" w:rsidP="00E0208F">
      <w:pPr>
        <w:pStyle w:val="Default"/>
        <w:spacing w:line="360" w:lineRule="auto"/>
        <w:jc w:val="both"/>
        <w:rPr>
          <w:color w:val="auto"/>
        </w:rPr>
      </w:pPr>
    </w:p>
    <w:tbl>
      <w:tblPr>
        <w:tblStyle w:val="Tabelacomgrade"/>
        <w:tblW w:w="4877" w:type="pct"/>
        <w:tblInd w:w="108" w:type="dxa"/>
        <w:tblLayout w:type="fixed"/>
        <w:tblLook w:val="04A0" w:firstRow="1" w:lastRow="0" w:firstColumn="1" w:lastColumn="0" w:noHBand="0" w:noVBand="1"/>
      </w:tblPr>
      <w:tblGrid>
        <w:gridCol w:w="1097"/>
        <w:gridCol w:w="3287"/>
        <w:gridCol w:w="1722"/>
        <w:gridCol w:w="1407"/>
        <w:gridCol w:w="1878"/>
      </w:tblGrid>
      <w:tr w:rsidR="00E0208F" w:rsidRPr="00C275FA" w14:paraId="08A386C6" w14:textId="77777777" w:rsidTr="00F02E5E">
        <w:tc>
          <w:tcPr>
            <w:tcW w:w="584" w:type="pct"/>
            <w:vAlign w:val="center"/>
          </w:tcPr>
          <w:p w14:paraId="37ACB908" w14:textId="77777777" w:rsidR="00E0208F" w:rsidRPr="00B70C63" w:rsidRDefault="00E0208F" w:rsidP="00F02E5E">
            <w:pPr>
              <w:pStyle w:val="Default"/>
              <w:jc w:val="center"/>
              <w:rPr>
                <w:rFonts w:eastAsia="Times New Roman"/>
                <w:color w:val="auto"/>
              </w:rPr>
            </w:pPr>
            <w:r w:rsidRPr="00B70C63">
              <w:rPr>
                <w:rFonts w:eastAsia="Times New Roman"/>
                <w:color w:val="auto"/>
              </w:rPr>
              <w:t>ITEM</w:t>
            </w:r>
          </w:p>
        </w:tc>
        <w:tc>
          <w:tcPr>
            <w:tcW w:w="1750" w:type="pct"/>
            <w:vAlign w:val="center"/>
          </w:tcPr>
          <w:p w14:paraId="7843324F" w14:textId="77777777" w:rsidR="00E0208F" w:rsidRPr="00B70C63" w:rsidRDefault="00E0208F" w:rsidP="00F02E5E">
            <w:pPr>
              <w:pStyle w:val="Default"/>
              <w:jc w:val="center"/>
              <w:rPr>
                <w:rFonts w:eastAsia="Times New Roman"/>
                <w:color w:val="auto"/>
              </w:rPr>
            </w:pPr>
            <w:r w:rsidRPr="00B70C63">
              <w:rPr>
                <w:rFonts w:eastAsia="Times New Roman"/>
                <w:color w:val="auto"/>
              </w:rPr>
              <w:t>DESCRIÇÃO</w:t>
            </w:r>
          </w:p>
        </w:tc>
        <w:tc>
          <w:tcPr>
            <w:tcW w:w="917" w:type="pct"/>
            <w:vAlign w:val="center"/>
          </w:tcPr>
          <w:p w14:paraId="44EDE8B3" w14:textId="77777777" w:rsidR="00E0208F" w:rsidRPr="00B70C63" w:rsidRDefault="00E0208F" w:rsidP="00F02E5E">
            <w:pPr>
              <w:pStyle w:val="Default"/>
              <w:jc w:val="center"/>
              <w:rPr>
                <w:rFonts w:eastAsia="Times New Roman"/>
                <w:color w:val="auto"/>
              </w:rPr>
            </w:pPr>
            <w:r w:rsidRPr="00B70C63">
              <w:rPr>
                <w:rFonts w:eastAsia="Times New Roman"/>
                <w:color w:val="auto"/>
              </w:rPr>
              <w:t>QUANTIDADE DE LICENÇAS</w:t>
            </w:r>
          </w:p>
        </w:tc>
        <w:tc>
          <w:tcPr>
            <w:tcW w:w="749" w:type="pct"/>
            <w:vAlign w:val="center"/>
          </w:tcPr>
          <w:p w14:paraId="7604F95C" w14:textId="77777777" w:rsidR="00E0208F" w:rsidRPr="00B70C63" w:rsidRDefault="00E0208F" w:rsidP="00F02E5E">
            <w:pPr>
              <w:pStyle w:val="Default"/>
              <w:jc w:val="center"/>
              <w:rPr>
                <w:rFonts w:eastAsia="Times New Roman"/>
                <w:color w:val="auto"/>
              </w:rPr>
            </w:pPr>
            <w:r w:rsidRPr="00B70C63">
              <w:rPr>
                <w:rFonts w:eastAsia="Times New Roman"/>
                <w:color w:val="auto"/>
              </w:rPr>
              <w:t>VALOR UNITÁRIO DA LICENÇA</w:t>
            </w:r>
          </w:p>
        </w:tc>
        <w:tc>
          <w:tcPr>
            <w:tcW w:w="1000" w:type="pct"/>
            <w:vAlign w:val="center"/>
          </w:tcPr>
          <w:p w14:paraId="37DF3290" w14:textId="77777777" w:rsidR="00E0208F" w:rsidRPr="00B70C63" w:rsidRDefault="00E0208F" w:rsidP="00F02E5E">
            <w:pPr>
              <w:pStyle w:val="Default"/>
              <w:jc w:val="center"/>
              <w:rPr>
                <w:rFonts w:eastAsia="Times New Roman"/>
                <w:b/>
                <w:bCs/>
                <w:color w:val="auto"/>
              </w:rPr>
            </w:pPr>
            <w:r w:rsidRPr="00B70C63">
              <w:rPr>
                <w:rFonts w:eastAsia="Times New Roman"/>
                <w:b/>
                <w:bCs/>
                <w:color w:val="auto"/>
              </w:rPr>
              <w:t>VALOR TOTAL DO ITEM</w:t>
            </w:r>
          </w:p>
        </w:tc>
      </w:tr>
      <w:tr w:rsidR="00E0208F" w:rsidRPr="00C275FA" w14:paraId="579AFB72" w14:textId="77777777" w:rsidTr="00F02E5E">
        <w:trPr>
          <w:trHeight w:val="567"/>
        </w:trPr>
        <w:tc>
          <w:tcPr>
            <w:tcW w:w="584" w:type="pct"/>
            <w:vAlign w:val="center"/>
          </w:tcPr>
          <w:p w14:paraId="0475FFD9" w14:textId="77777777" w:rsidR="00E0208F" w:rsidRPr="00B70C63" w:rsidRDefault="00E0208F" w:rsidP="00F02E5E">
            <w:pPr>
              <w:pStyle w:val="Default"/>
              <w:spacing w:line="360" w:lineRule="auto"/>
              <w:jc w:val="center"/>
              <w:rPr>
                <w:rFonts w:eastAsia="Times New Roman"/>
                <w:color w:val="auto"/>
              </w:rPr>
            </w:pPr>
            <w:r w:rsidRPr="00B70C63">
              <w:rPr>
                <w:rFonts w:eastAsia="Times New Roman"/>
                <w:color w:val="auto"/>
              </w:rPr>
              <w:t>1</w:t>
            </w:r>
          </w:p>
        </w:tc>
        <w:tc>
          <w:tcPr>
            <w:tcW w:w="1750" w:type="pct"/>
            <w:vAlign w:val="center"/>
          </w:tcPr>
          <w:p w14:paraId="3DE4D7DD" w14:textId="77777777" w:rsidR="00E0208F" w:rsidRPr="00B70C63" w:rsidRDefault="00E0208F" w:rsidP="00F02E5E">
            <w:pPr>
              <w:pStyle w:val="Default"/>
              <w:spacing w:line="360" w:lineRule="auto"/>
              <w:rPr>
                <w:rFonts w:eastAsia="Times New Roman"/>
                <w:color w:val="auto"/>
              </w:rPr>
            </w:pPr>
            <w:r w:rsidRPr="00B70C63">
              <w:rPr>
                <w:rFonts w:eastAsia="Times New Roman"/>
                <w:color w:val="auto"/>
              </w:rPr>
              <w:t xml:space="preserve">Contratação de serviços de renovação da subscrição, com suporte técnico (manutenção), por 36 (trinta e seis) meses, de 4 (quatro) licenças do pacote de Software </w:t>
            </w:r>
            <w:proofErr w:type="spellStart"/>
            <w:r w:rsidRPr="00B70C63">
              <w:rPr>
                <w:rFonts w:eastAsia="Times New Roman"/>
                <w:color w:val="auto"/>
              </w:rPr>
              <w:t>SuiteAutoDeskArchitectureEnginerringandConstructionCollection</w:t>
            </w:r>
            <w:proofErr w:type="spellEnd"/>
            <w:r w:rsidRPr="00B70C63">
              <w:rPr>
                <w:rFonts w:eastAsia="Times New Roman"/>
                <w:color w:val="auto"/>
              </w:rPr>
              <w:t xml:space="preserve"> – AEC COLLECTION, já em uso pelo Conselho Nacional do Ministério Público - CNMP, conforme condições comerciais relacionadas ao Contrato AUTODESK Número nº 110002804049.</w:t>
            </w:r>
          </w:p>
          <w:p w14:paraId="0F39FD53" w14:textId="77777777" w:rsidR="00E0208F" w:rsidRPr="00B70C63" w:rsidRDefault="00E0208F" w:rsidP="00F02E5E">
            <w:pPr>
              <w:pStyle w:val="Default"/>
              <w:spacing w:line="360" w:lineRule="auto"/>
              <w:rPr>
                <w:rFonts w:eastAsia="Times New Roman"/>
                <w:color w:val="auto"/>
              </w:rPr>
            </w:pPr>
          </w:p>
        </w:tc>
        <w:tc>
          <w:tcPr>
            <w:tcW w:w="917" w:type="pct"/>
            <w:vAlign w:val="center"/>
          </w:tcPr>
          <w:p w14:paraId="3EB809EE" w14:textId="77777777" w:rsidR="00E0208F" w:rsidRPr="00B70C63" w:rsidRDefault="00E0208F" w:rsidP="00F02E5E">
            <w:pPr>
              <w:pStyle w:val="Default"/>
              <w:spacing w:line="360" w:lineRule="auto"/>
              <w:jc w:val="center"/>
              <w:rPr>
                <w:rFonts w:eastAsia="Times New Roman"/>
                <w:color w:val="auto"/>
              </w:rPr>
            </w:pPr>
            <w:r w:rsidRPr="00B70C63">
              <w:rPr>
                <w:rFonts w:eastAsia="Times New Roman"/>
                <w:color w:val="auto"/>
              </w:rPr>
              <w:lastRenderedPageBreak/>
              <w:t>4</w:t>
            </w:r>
          </w:p>
        </w:tc>
        <w:tc>
          <w:tcPr>
            <w:tcW w:w="749" w:type="pct"/>
            <w:vAlign w:val="center"/>
          </w:tcPr>
          <w:p w14:paraId="3561D2D1" w14:textId="77777777" w:rsidR="00E0208F" w:rsidRPr="00B70C63" w:rsidRDefault="00E0208F" w:rsidP="00F02E5E">
            <w:pPr>
              <w:pStyle w:val="Default"/>
              <w:spacing w:line="360" w:lineRule="auto"/>
              <w:jc w:val="center"/>
              <w:rPr>
                <w:rFonts w:eastAsia="Times New Roman"/>
                <w:color w:val="auto"/>
              </w:rPr>
            </w:pPr>
            <w:r w:rsidRPr="00B70C63">
              <w:rPr>
                <w:rFonts w:eastAsia="Times New Roman"/>
                <w:b/>
                <w:bCs/>
                <w:color w:val="auto"/>
              </w:rPr>
              <w:t>R$ _____</w:t>
            </w:r>
          </w:p>
        </w:tc>
        <w:tc>
          <w:tcPr>
            <w:tcW w:w="1000" w:type="pct"/>
            <w:vAlign w:val="center"/>
          </w:tcPr>
          <w:p w14:paraId="04E17039" w14:textId="77777777" w:rsidR="00E0208F" w:rsidRPr="00B70C63" w:rsidRDefault="00E0208F" w:rsidP="00F02E5E">
            <w:pPr>
              <w:pStyle w:val="Default"/>
              <w:spacing w:line="360" w:lineRule="auto"/>
              <w:jc w:val="center"/>
              <w:rPr>
                <w:rFonts w:eastAsia="Times New Roman"/>
                <w:b/>
                <w:bCs/>
                <w:color w:val="auto"/>
              </w:rPr>
            </w:pPr>
            <w:r w:rsidRPr="00B70C63">
              <w:rPr>
                <w:rFonts w:eastAsia="Times New Roman"/>
                <w:b/>
                <w:bCs/>
                <w:color w:val="auto"/>
              </w:rPr>
              <w:t>R$ _____</w:t>
            </w:r>
          </w:p>
        </w:tc>
      </w:tr>
      <w:tr w:rsidR="00E0208F" w:rsidRPr="00C275FA" w14:paraId="6DD6F694" w14:textId="77777777" w:rsidTr="00F02E5E">
        <w:trPr>
          <w:trHeight w:val="567"/>
        </w:trPr>
        <w:tc>
          <w:tcPr>
            <w:tcW w:w="584" w:type="pct"/>
            <w:vAlign w:val="center"/>
          </w:tcPr>
          <w:p w14:paraId="6FAD1BDA" w14:textId="77777777" w:rsidR="00E0208F" w:rsidRPr="00B70C63" w:rsidRDefault="00E0208F" w:rsidP="00F02E5E">
            <w:pPr>
              <w:pStyle w:val="Default"/>
              <w:spacing w:line="360" w:lineRule="auto"/>
              <w:jc w:val="center"/>
              <w:rPr>
                <w:rFonts w:eastAsia="Times New Roman"/>
                <w:color w:val="auto"/>
              </w:rPr>
            </w:pPr>
            <w:r w:rsidRPr="00B70C63">
              <w:rPr>
                <w:rFonts w:eastAsia="Times New Roman"/>
                <w:color w:val="auto"/>
              </w:rPr>
              <w:t>2</w:t>
            </w:r>
          </w:p>
        </w:tc>
        <w:tc>
          <w:tcPr>
            <w:tcW w:w="1750" w:type="pct"/>
            <w:vAlign w:val="center"/>
          </w:tcPr>
          <w:p w14:paraId="5F12796C" w14:textId="77777777" w:rsidR="00E0208F" w:rsidRPr="00B70C63" w:rsidRDefault="00E0208F" w:rsidP="00F02E5E">
            <w:pPr>
              <w:pStyle w:val="Default"/>
              <w:spacing w:line="360" w:lineRule="auto"/>
              <w:rPr>
                <w:rFonts w:eastAsia="Times New Roman"/>
                <w:color w:val="auto"/>
              </w:rPr>
            </w:pPr>
            <w:r w:rsidRPr="00B70C63">
              <w:rPr>
                <w:rFonts w:eastAsia="Times New Roman"/>
                <w:color w:val="auto"/>
              </w:rPr>
              <w:t xml:space="preserve">Contratação de serviços de subscrição de 02 (duas) novas licenças, com suporte técnico (manutenção), por 36 (trinta e seis) meses, do pacote de Software </w:t>
            </w:r>
            <w:proofErr w:type="spellStart"/>
            <w:r w:rsidRPr="00B70C63">
              <w:rPr>
                <w:rFonts w:eastAsia="Times New Roman"/>
                <w:color w:val="auto"/>
              </w:rPr>
              <w:t>SuiteAutoDeskArchitectureEnginerringandConstructionCollection</w:t>
            </w:r>
            <w:proofErr w:type="spellEnd"/>
            <w:r w:rsidRPr="00B70C63">
              <w:rPr>
                <w:rFonts w:eastAsia="Times New Roman"/>
                <w:color w:val="auto"/>
              </w:rPr>
              <w:t xml:space="preserve"> – AEC COLLECTION, para uso, em adição às licenças já existentes, pelo Conselho Nacional do Ministério Público - CNMP</w:t>
            </w:r>
          </w:p>
        </w:tc>
        <w:tc>
          <w:tcPr>
            <w:tcW w:w="917" w:type="pct"/>
            <w:vAlign w:val="center"/>
          </w:tcPr>
          <w:p w14:paraId="62C90E8E" w14:textId="77777777" w:rsidR="00E0208F" w:rsidRPr="00837A56" w:rsidRDefault="00E0208F" w:rsidP="00F02E5E">
            <w:pPr>
              <w:pStyle w:val="Default"/>
              <w:spacing w:line="360" w:lineRule="auto"/>
              <w:jc w:val="center"/>
              <w:rPr>
                <w:rFonts w:eastAsia="Times New Roman"/>
                <w:color w:val="auto"/>
                <w:sz w:val="20"/>
                <w:szCs w:val="20"/>
              </w:rPr>
            </w:pPr>
            <w:r>
              <w:rPr>
                <w:rFonts w:eastAsia="Times New Roman"/>
                <w:color w:val="auto"/>
                <w:sz w:val="20"/>
                <w:szCs w:val="20"/>
              </w:rPr>
              <w:t>2</w:t>
            </w:r>
          </w:p>
        </w:tc>
        <w:tc>
          <w:tcPr>
            <w:tcW w:w="749" w:type="pct"/>
            <w:vAlign w:val="center"/>
          </w:tcPr>
          <w:p w14:paraId="5640541F" w14:textId="77777777" w:rsidR="00E0208F" w:rsidRDefault="00E0208F" w:rsidP="00F02E5E">
            <w:pPr>
              <w:pStyle w:val="Default"/>
              <w:spacing w:line="360" w:lineRule="auto"/>
              <w:jc w:val="center"/>
              <w:rPr>
                <w:rFonts w:eastAsia="Times New Roman"/>
                <w:color w:val="auto"/>
                <w:sz w:val="20"/>
                <w:szCs w:val="20"/>
              </w:rPr>
            </w:pPr>
            <w:r>
              <w:rPr>
                <w:rFonts w:eastAsia="Times New Roman"/>
                <w:b/>
                <w:bCs/>
                <w:color w:val="auto"/>
                <w:sz w:val="20"/>
                <w:szCs w:val="20"/>
              </w:rPr>
              <w:t>R$ _____</w:t>
            </w:r>
          </w:p>
        </w:tc>
        <w:tc>
          <w:tcPr>
            <w:tcW w:w="1000" w:type="pct"/>
            <w:vAlign w:val="center"/>
          </w:tcPr>
          <w:p w14:paraId="7CE810BC" w14:textId="77777777" w:rsidR="00E0208F" w:rsidRPr="007573A4" w:rsidRDefault="00E0208F" w:rsidP="00F02E5E">
            <w:pPr>
              <w:pStyle w:val="Default"/>
              <w:spacing w:line="360" w:lineRule="auto"/>
              <w:jc w:val="center"/>
              <w:rPr>
                <w:rFonts w:eastAsia="Times New Roman"/>
                <w:b/>
                <w:bCs/>
                <w:color w:val="auto"/>
                <w:sz w:val="20"/>
                <w:szCs w:val="20"/>
              </w:rPr>
            </w:pPr>
            <w:r>
              <w:rPr>
                <w:rFonts w:eastAsia="Times New Roman"/>
                <w:b/>
                <w:bCs/>
                <w:color w:val="auto"/>
                <w:sz w:val="20"/>
                <w:szCs w:val="20"/>
              </w:rPr>
              <w:t>R$ _____</w:t>
            </w:r>
          </w:p>
        </w:tc>
      </w:tr>
    </w:tbl>
    <w:p w14:paraId="6ABE7663" w14:textId="77777777" w:rsidR="00E0208F" w:rsidRPr="00C275FA" w:rsidRDefault="00E0208F" w:rsidP="00E0208F">
      <w:pPr>
        <w:spacing w:line="360" w:lineRule="auto"/>
        <w:jc w:val="both"/>
        <w:rPr>
          <w:rFonts w:eastAsia="Times New Roman" w:cs="Times New Roman"/>
        </w:rPr>
      </w:pPr>
    </w:p>
    <w:p w14:paraId="27D0A017"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ALTERAÇÃO SUBJETIVA</w:t>
      </w:r>
    </w:p>
    <w:p w14:paraId="099A49F5" w14:textId="4062670E"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admissível a fusão, cisão ou incorporação da contratada com/em outra pessoa jurídica, desde que sejam observados pela nova pessoa jurídica</w:t>
      </w:r>
      <w:r w:rsidR="00C6167B">
        <w:rPr>
          <w:color w:val="auto"/>
        </w:rPr>
        <w:t xml:space="preserve"> </w:t>
      </w:r>
      <w:r w:rsidRPr="679E79CE">
        <w:rPr>
          <w:color w:val="auto"/>
        </w:rPr>
        <w:t>todos os requisitos de habilitação exigidos na licitação original; sejam mantidas as demais cláusulas e condições do contrato; não haja prejuízo à execução do</w:t>
      </w:r>
      <w:r w:rsidR="00C6167B">
        <w:rPr>
          <w:color w:val="auto"/>
        </w:rPr>
        <w:t xml:space="preserve"> </w:t>
      </w:r>
      <w:r w:rsidRPr="679E79CE">
        <w:rPr>
          <w:color w:val="auto"/>
        </w:rPr>
        <w:t>objeto pactuado e haja a anuência expressa da Administração à continuidade do contrato.</w:t>
      </w:r>
    </w:p>
    <w:p w14:paraId="7F13E6EF" w14:textId="77777777" w:rsidR="00E0208F" w:rsidRPr="00C275FA" w:rsidRDefault="00E0208F" w:rsidP="00E0208F">
      <w:pPr>
        <w:pStyle w:val="Default"/>
        <w:spacing w:line="360" w:lineRule="auto"/>
        <w:ind w:firstLine="709"/>
        <w:jc w:val="both"/>
        <w:rPr>
          <w:color w:val="auto"/>
        </w:rPr>
      </w:pPr>
    </w:p>
    <w:p w14:paraId="398F6219"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CONTROLE DA EXECUÇÃO</w:t>
      </w:r>
    </w:p>
    <w:p w14:paraId="4CB33BE9" w14:textId="77777777" w:rsidR="00E0208F" w:rsidRPr="00EA4F42"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130E49E4" w14:textId="1A184D98" w:rsidR="00E0208F" w:rsidRPr="00EA4F42"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lastRenderedPageBreak/>
        <w:t>As decisões e providências que ultrapassarem a competência do representante deverão ser solicitadas ao seu gestor, em tempo hábil para adoção</w:t>
      </w:r>
      <w:r w:rsidR="00C6167B">
        <w:rPr>
          <w:color w:val="auto"/>
        </w:rPr>
        <w:t xml:space="preserve"> </w:t>
      </w:r>
      <w:r w:rsidRPr="00EA4F42">
        <w:rPr>
          <w:color w:val="auto"/>
        </w:rPr>
        <w:t>das medidas convenientes (Art. 67, §2º Lei 8.666/93);</w:t>
      </w:r>
    </w:p>
    <w:p w14:paraId="2635670D" w14:textId="77777777" w:rsidR="00E0208F" w:rsidRPr="00EA4F42"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O contrato assinado constitui documento de autorização para a execução do serviço</w:t>
      </w:r>
      <w:r>
        <w:rPr>
          <w:color w:val="auto"/>
        </w:rPr>
        <w:t>;</w:t>
      </w:r>
    </w:p>
    <w:p w14:paraId="69BF328A"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Conselho Nacional do Ministério Público poderá rejeitar o objeto, no todo ou em parte, se em desacordo com este termo de referência;</w:t>
      </w:r>
    </w:p>
    <w:p w14:paraId="6702C9A6"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Quaisquer exigências da Fiscalização, inerentes ao objeto da presente contratação, deverão ser prontamente atendidas pela Contratada.</w:t>
      </w:r>
    </w:p>
    <w:p w14:paraId="70FEC642" w14:textId="77777777" w:rsidR="00E0208F" w:rsidRPr="00C275FA" w:rsidRDefault="00E0208F" w:rsidP="00E0208F">
      <w:pPr>
        <w:pStyle w:val="Default"/>
        <w:spacing w:line="360" w:lineRule="auto"/>
        <w:ind w:firstLine="709"/>
        <w:rPr>
          <w:color w:val="auto"/>
        </w:rPr>
      </w:pPr>
    </w:p>
    <w:p w14:paraId="7908D3D3"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PREPOSTO</w:t>
      </w:r>
    </w:p>
    <w:p w14:paraId="62B33D9C"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114F8289"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24F74B9"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preposto deverá estar apto a esclarecer as questões relacionadas às faturas dos serviços prestados; </w:t>
      </w:r>
    </w:p>
    <w:p w14:paraId="2D3DA477"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orientará o seu preposto quanto à necessidade de acatar as orientações do CONTRATANTE, inclusive quanto ao cumprimento das Normas Internas de Segurança e de Sustentabilidade;</w:t>
      </w:r>
    </w:p>
    <w:p w14:paraId="30DB391B" w14:textId="77777777" w:rsidR="00E0208F" w:rsidRPr="00C275FA" w:rsidRDefault="00E0208F" w:rsidP="00E0208F">
      <w:pPr>
        <w:pStyle w:val="Default"/>
        <w:spacing w:line="360" w:lineRule="auto"/>
        <w:ind w:firstLine="709"/>
        <w:rPr>
          <w:color w:val="auto"/>
        </w:rPr>
      </w:pPr>
    </w:p>
    <w:p w14:paraId="652A8C69"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CONDIÇÕES DE PAGAMENTO</w:t>
      </w:r>
    </w:p>
    <w:p w14:paraId="2C597C8D"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7E6E">
        <w:rPr>
          <w:color w:val="auto"/>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r w:rsidRPr="003C6988">
        <w:rPr>
          <w:color w:val="auto"/>
        </w:rPr>
        <w:t>;</w:t>
      </w:r>
    </w:p>
    <w:p w14:paraId="000BEFFD" w14:textId="77777777" w:rsidR="00E0208F" w:rsidRPr="003C6988"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7E6E">
        <w:rPr>
          <w:color w:val="auto"/>
        </w:rPr>
        <w:lastRenderedPageBreak/>
        <w:t>O pagamento aludido refere-se aos 36 (trinta e seis) meses de subscrição</w:t>
      </w:r>
      <w:r>
        <w:rPr>
          <w:color w:val="auto"/>
        </w:rPr>
        <w:t>.</w:t>
      </w:r>
    </w:p>
    <w:p w14:paraId="65026A51" w14:textId="77777777" w:rsidR="00E0208F" w:rsidRPr="003C6988"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3C6988">
        <w:rPr>
          <w:color w:val="auto"/>
        </w:rPr>
        <w:t xml:space="preserve">Caso a CONTRATADA seja optante pelo “SIMPLES” (Lei nº 9.317/96), será obrigada a informar no corpo da nota fiscal e </w:t>
      </w:r>
      <w:proofErr w:type="spellStart"/>
      <w:r w:rsidRPr="003C6988">
        <w:rPr>
          <w:color w:val="auto"/>
        </w:rPr>
        <w:t>apresentardeclaração</w:t>
      </w:r>
      <w:proofErr w:type="spellEnd"/>
      <w:r w:rsidRPr="003C6988">
        <w:rPr>
          <w:color w:val="auto"/>
        </w:rPr>
        <w:t xml:space="preserve"> assinada pelo seu representante legal, na forma do Anexo IV da Instrução Normativa SRF nº 1.234, de 11/01/2012;</w:t>
      </w:r>
    </w:p>
    <w:p w14:paraId="28B5821D" w14:textId="31657AF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pagamento será feito por meio de depósito na </w:t>
      </w:r>
      <w:proofErr w:type="spellStart"/>
      <w:r w:rsidRPr="679E79CE">
        <w:rPr>
          <w:color w:val="auto"/>
        </w:rPr>
        <w:t>conta-corrente</w:t>
      </w:r>
      <w:proofErr w:type="spellEnd"/>
      <w:r w:rsidRPr="679E79CE">
        <w:rPr>
          <w:color w:val="auto"/>
        </w:rPr>
        <w:t xml:space="preserve"> da CONTRATADA, através de Ordem Bancária, mediante apresentação da</w:t>
      </w:r>
      <w:r w:rsidR="00C6167B">
        <w:rPr>
          <w:color w:val="auto"/>
        </w:rPr>
        <w:t xml:space="preserve"> </w:t>
      </w:r>
      <w:r w:rsidRPr="679E79CE">
        <w:rPr>
          <w:color w:val="auto"/>
        </w:rPr>
        <w:t>respectiva Nota Fiscal/Fatura do serviço;</w:t>
      </w:r>
    </w:p>
    <w:p w14:paraId="564D6E19" w14:textId="1D2B18CB"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Para execução do pagamento de que trata a presente Cláusula, a CONTRATADA deverá fazer constar como beneficiário/cliente, da </w:t>
      </w:r>
      <w:proofErr w:type="spellStart"/>
      <w:r w:rsidRPr="679E79CE">
        <w:rPr>
          <w:color w:val="auto"/>
        </w:rPr>
        <w:t>NotaFiscal</w:t>
      </w:r>
      <w:proofErr w:type="spellEnd"/>
      <w:r w:rsidRPr="679E79CE">
        <w:rPr>
          <w:color w:val="auto"/>
        </w:rPr>
        <w:t>/Fatura correspondente, emitida sem rasuras, o CONSELHO NACIONAL DO MINISTÉRIO PÚBLICO, CNPJ nº 11.439.520/0001-11, e ainda, o número da Nota</w:t>
      </w:r>
      <w:r w:rsidR="00C6167B">
        <w:rPr>
          <w:color w:val="auto"/>
        </w:rPr>
        <w:t xml:space="preserve"> </w:t>
      </w:r>
      <w:r w:rsidRPr="679E79CE">
        <w:rPr>
          <w:color w:val="auto"/>
        </w:rPr>
        <w:t>de Empenho, os números do Banco, da Agência e da Conta-Corrente da CONTRATADA, e a descrição clara e sucinta do objeto;</w:t>
      </w:r>
    </w:p>
    <w:p w14:paraId="73858D92"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Sobre o valor da nota fiscal, a CONTRATANTE fará as retenções devidas ao INSS e as dos impostos e contribuições previstas na Instrução Normativa SRF nº 1.234, de 11/01/2012;</w:t>
      </w:r>
    </w:p>
    <w:p w14:paraId="659507BB" w14:textId="1962ED0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ainda, junto à Nota Fiscal/Fatura, apresentar os documentos comprobatórios de regularidade fiscal e trabalhista, exigidos</w:t>
      </w:r>
      <w:r w:rsidR="00C6167B">
        <w:rPr>
          <w:color w:val="auto"/>
        </w:rPr>
        <w:t xml:space="preserve"> </w:t>
      </w:r>
      <w:r w:rsidRPr="679E79CE">
        <w:rPr>
          <w:color w:val="auto"/>
        </w:rPr>
        <w:t>no Termo de Referência;</w:t>
      </w:r>
    </w:p>
    <w:p w14:paraId="21568E24"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apresentação de certidões atrasadas ou irregulares com a nota fiscal ensejará anotação do fiscal no registro próprio, e criará pendência a ser sanada pela CONTRATADA;</w:t>
      </w:r>
    </w:p>
    <w:p w14:paraId="1097C290" w14:textId="032BF1C0"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Constatando-se, junto aos órgãos competentes, a situação de irregularidade da CONTRATADA, será providenciada sua notificação, por escrito,</w:t>
      </w:r>
      <w:r w:rsidR="00C6167B">
        <w:rPr>
          <w:color w:val="auto"/>
        </w:rPr>
        <w:t xml:space="preserve"> </w:t>
      </w:r>
      <w:r w:rsidRPr="679E79CE">
        <w:rPr>
          <w:color w:val="auto"/>
        </w:rPr>
        <w:t>para que, no prazo de 5 (cinco) dias úteis, regularize sua situação ou, no mesmo prazo, apresente sua defesa. O prazo poderá ser prorrogado, por igual período, a critério do CONTRATANTE;</w:t>
      </w:r>
    </w:p>
    <w:p w14:paraId="290FCCBB" w14:textId="47E5FBD0"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Nenhum pagamento será efetuado à CONTRATADA, enquanto pendente de liquidação qualquer obrigação financeira que lhe for imposta, em</w:t>
      </w:r>
      <w:r w:rsidR="00C6167B">
        <w:rPr>
          <w:color w:val="auto"/>
        </w:rPr>
        <w:t xml:space="preserve"> </w:t>
      </w:r>
      <w:r w:rsidRPr="679E79CE">
        <w:rPr>
          <w:color w:val="auto"/>
        </w:rPr>
        <w:t>virtude de penalidade ou inadimplência contratual, sem que isso gere direito a acréscimos de qualquer natureza;</w:t>
      </w:r>
    </w:p>
    <w:p w14:paraId="5E2DE12C" w14:textId="77777777" w:rsidR="00E0208F" w:rsidRPr="00C275FA" w:rsidRDefault="00E0208F" w:rsidP="00E0208F">
      <w:pPr>
        <w:pStyle w:val="Default"/>
        <w:spacing w:line="360" w:lineRule="auto"/>
        <w:ind w:firstLine="709"/>
        <w:rPr>
          <w:color w:val="auto"/>
        </w:rPr>
      </w:pPr>
    </w:p>
    <w:p w14:paraId="21243A84" w14:textId="77777777" w:rsidR="00E0208F" w:rsidRPr="00C275FA"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SANÇÕES ADMINISTRATIVAS</w:t>
      </w:r>
    </w:p>
    <w:p w14:paraId="05E59227" w14:textId="77777777" w:rsidR="00E0208F"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Pr>
          <w:color w:val="auto"/>
        </w:rPr>
        <w:t>Com fundamento na Portaria CNMP-SG nº 378/2021,</w:t>
      </w:r>
      <w:r w:rsidRPr="00271FE8">
        <w:rPr>
          <w:color w:val="auto"/>
        </w:rPr>
        <w:t xml:space="preserve"> alterada pela Portaria CNMP-SG nº 160/2022</w:t>
      </w:r>
      <w:r w:rsidRPr="5766E48D">
        <w:rPr>
          <w:color w:val="auto"/>
        </w:rPr>
        <w:t>,</w:t>
      </w:r>
      <w:r>
        <w:rPr>
          <w:color w:val="auto"/>
        </w:rPr>
        <w:t xml:space="preserve"> e no art. 7º da Lei nº 10.520/2002, ficará </w:t>
      </w:r>
      <w:r>
        <w:rPr>
          <w:b/>
          <w:color w:val="auto"/>
        </w:rPr>
        <w:t>impedida de licitar e contratar com a União</w:t>
      </w:r>
      <w:r>
        <w:rPr>
          <w:color w:val="auto"/>
        </w:rPr>
        <w:t xml:space="preserve"> e será descredenciada do SICAF e do cadastro de fornecedores da Contratante, </w:t>
      </w:r>
      <w:r>
        <w:rPr>
          <w:color w:val="auto"/>
        </w:rPr>
        <w:lastRenderedPageBreak/>
        <w:t xml:space="preserve">pelo prazo de até 5 (cinco) anos, garantida a ampla defesa, sem prejuízo das multas previstas no Termo/Contrato e demais cominações legais a Contratada que: </w:t>
      </w:r>
    </w:p>
    <w:p w14:paraId="53249E7C"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deixar de entregar os documentos exigidos no certame (prazo de 1 mês);</w:t>
      </w:r>
    </w:p>
    <w:p w14:paraId="3EE0DD5A" w14:textId="77777777" w:rsidR="00E0208F"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000000" w:themeColor="text1"/>
        </w:rPr>
      </w:pPr>
      <w:r w:rsidRPr="5766E48D">
        <w:rPr>
          <w:color w:val="auto"/>
        </w:rPr>
        <w:t>não mantiver a proposta (prazo de 1 mês);</w:t>
      </w:r>
    </w:p>
    <w:p w14:paraId="5398AB86"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ensejar o retardamento da execução do objeto (prazo de 3 meses);</w:t>
      </w:r>
    </w:p>
    <w:p w14:paraId="22F907C0"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falhar na execução do contrato (prazo de 9 meses);</w:t>
      </w:r>
    </w:p>
    <w:p w14:paraId="46AB22F2"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deixar de celebrar o contrato ou instrumento equivalente, quando convocado dentro do prazo de validade da proposta (prazo de 12 meses);</w:t>
      </w:r>
    </w:p>
    <w:p w14:paraId="2E6881B8"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apresentar documentação falsa (prazo de 36 meses);</w:t>
      </w:r>
    </w:p>
    <w:p w14:paraId="7A454795"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fraudar na execução do contrato (prazo de 48 meses);</w:t>
      </w:r>
    </w:p>
    <w:p w14:paraId="4ED813DE" w14:textId="77777777" w:rsidR="00E0208F" w:rsidRPr="0050004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cometer fraude fiscal (prazo de 48 meses);</w:t>
      </w:r>
    </w:p>
    <w:p w14:paraId="527F057D" w14:textId="77777777" w:rsidR="00E0208F" w:rsidRPr="003B0ECE" w:rsidRDefault="00E0208F" w:rsidP="00E0208F">
      <w:pPr>
        <w:pStyle w:val="Default"/>
        <w:numPr>
          <w:ilvl w:val="1"/>
          <w:numId w:val="40"/>
        </w:numPr>
        <w:suppressAutoHyphens w:val="0"/>
        <w:autoSpaceDE w:val="0"/>
        <w:autoSpaceDN w:val="0"/>
        <w:adjustRightInd w:val="0"/>
        <w:spacing w:line="360" w:lineRule="auto"/>
        <w:ind w:left="1134" w:hanging="283"/>
        <w:jc w:val="both"/>
        <w:textAlignment w:val="auto"/>
        <w:rPr>
          <w:rFonts w:asciiTheme="minorHAnsi" w:eastAsiaTheme="minorEastAsia" w:hAnsiTheme="minorHAnsi" w:cstheme="minorBidi"/>
          <w:color w:val="auto"/>
        </w:rPr>
      </w:pPr>
      <w:r w:rsidRPr="5766E48D">
        <w:rPr>
          <w:color w:val="auto"/>
        </w:rPr>
        <w:t>comportar-se de modo inidôneo (prazo de 48 meses).</w:t>
      </w:r>
    </w:p>
    <w:p w14:paraId="6E025E14" w14:textId="77777777" w:rsidR="00E0208F" w:rsidRPr="0050004E" w:rsidRDefault="00E0208F" w:rsidP="00E0208F">
      <w:pPr>
        <w:pStyle w:val="Default"/>
        <w:spacing w:line="360" w:lineRule="auto"/>
        <w:ind w:left="1134"/>
        <w:jc w:val="both"/>
        <w:rPr>
          <w:rFonts w:asciiTheme="minorHAnsi" w:eastAsiaTheme="minorEastAsia" w:hAnsiTheme="minorHAnsi" w:cstheme="minorBidi"/>
          <w:color w:val="auto"/>
        </w:rPr>
      </w:pPr>
    </w:p>
    <w:p w14:paraId="6BE02504" w14:textId="77777777" w:rsidR="00E0208F" w:rsidRPr="00896148"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a não celebração do contrato quando a empresa desiste de formalizar o contrato ou aditivo, inclusive após manifestar concordância quanto à prorrogação de vigência ou alteração do objeto, seja para acréscimo ou supressão.</w:t>
      </w:r>
    </w:p>
    <w:p w14:paraId="10F8FF1F" w14:textId="77777777" w:rsidR="00E0208F" w:rsidRPr="00896148"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retardar a execução do objeto a ação ou omissão que prejudique o bom andamento do certame, evidencie tentativa de indução a erro no julgamento ou atrase a assinatura do contrato ou da Ata de Registro de Preços</w:t>
      </w:r>
      <w:r>
        <w:rPr>
          <w:color w:val="auto"/>
        </w:rPr>
        <w:t>.</w:t>
      </w:r>
    </w:p>
    <w:p w14:paraId="3B5FF4B2" w14:textId="77777777" w:rsidR="00E0208F" w:rsidRPr="00896148"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não manutenção da proposta:</w:t>
      </w:r>
    </w:p>
    <w:p w14:paraId="6B3B1F7C" w14:textId="77777777" w:rsidR="00E0208F" w:rsidRPr="00896148" w:rsidRDefault="00E0208F" w:rsidP="00E0208F">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A ausência do seu envio;</w:t>
      </w:r>
    </w:p>
    <w:p w14:paraId="5633DB8C" w14:textId="77777777" w:rsidR="00E0208F" w:rsidRPr="00896148" w:rsidRDefault="00E0208F" w:rsidP="00E0208F">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 xml:space="preserve"> A recusa do seu detalhamento, quando exigido;</w:t>
      </w:r>
    </w:p>
    <w:p w14:paraId="1E7A5B4F" w14:textId="0312DA9E" w:rsidR="00E0208F" w:rsidRPr="00896148" w:rsidRDefault="00E0208F" w:rsidP="00E0208F">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O pedido de desclassificação de sua proposta, quando encerrada a fase competitiva, desde que não esteja fundamentada na demonstração de vício</w:t>
      </w:r>
      <w:r w:rsidR="00C6167B">
        <w:rPr>
          <w:color w:val="auto"/>
        </w:rPr>
        <w:t xml:space="preserve"> </w:t>
      </w:r>
      <w:r w:rsidRPr="679E79CE">
        <w:rPr>
          <w:color w:val="auto"/>
        </w:rPr>
        <w:t>ou falha na sua</w:t>
      </w:r>
      <w:r w:rsidR="00C6167B">
        <w:rPr>
          <w:color w:val="auto"/>
        </w:rPr>
        <w:t xml:space="preserve"> </w:t>
      </w:r>
      <w:r w:rsidRPr="679E79CE">
        <w:rPr>
          <w:color w:val="auto"/>
        </w:rPr>
        <w:t>elaboração, que evidencie a impossibilidade de seu cumprimento e decorrente de caso fortuito ou força maior</w:t>
      </w:r>
      <w:r>
        <w:rPr>
          <w:color w:val="auto"/>
        </w:rPr>
        <w:t>;</w:t>
      </w:r>
    </w:p>
    <w:p w14:paraId="570DAA2F" w14:textId="77777777" w:rsidR="00E0208F" w:rsidRPr="00896148" w:rsidRDefault="00E0208F" w:rsidP="00E0208F">
      <w:pPr>
        <w:pStyle w:val="Standard"/>
        <w:widowControl w:val="0"/>
        <w:numPr>
          <w:ilvl w:val="2"/>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Considera-se falha na execução contratual o inadimplemento grave ou inescusável de obrigação assumida pela contratada</w:t>
      </w:r>
      <w:r>
        <w:rPr>
          <w:rFonts w:eastAsia="Times New Roman" w:cs="Times New Roman"/>
          <w:kern w:val="0"/>
          <w:sz w:val="24"/>
          <w:szCs w:val="24"/>
          <w:lang w:eastAsia="en-US"/>
        </w:rPr>
        <w:t>.</w:t>
      </w:r>
    </w:p>
    <w:p w14:paraId="4246A7AA" w14:textId="77777777" w:rsidR="00E0208F" w:rsidRPr="00896148"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lastRenderedPageBreak/>
        <w:t>Considera-se fraude na execução contratual a prática de ato destinado à obtenção de vantagem ilícita, induzindo ou mantendo em erro a unidade sancionadora.</w:t>
      </w:r>
    </w:p>
    <w:p w14:paraId="2B9AEF63" w14:textId="77777777" w:rsidR="00E0208F" w:rsidRPr="00C64E02" w:rsidRDefault="00E0208F" w:rsidP="00E0208F">
      <w:pPr>
        <w:pStyle w:val="Default"/>
        <w:numPr>
          <w:ilvl w:val="1"/>
          <w:numId w:val="37"/>
        </w:numPr>
        <w:suppressAutoHyphens w:val="0"/>
        <w:autoSpaceDE w:val="0"/>
        <w:autoSpaceDN w:val="0"/>
        <w:adjustRightInd w:val="0"/>
        <w:spacing w:line="360" w:lineRule="auto"/>
        <w:jc w:val="both"/>
        <w:textAlignment w:val="auto"/>
        <w:rPr>
          <w:color w:val="auto"/>
        </w:rPr>
      </w:pPr>
      <w:r>
        <w:rPr>
          <w:color w:val="auto"/>
        </w:rPr>
        <w:t>As sanções previstas no art. 7° da Lei 10.520/2002 e no item 17.1 deste Termo de Referência podem ser aplicadas cumulativamente com a pena de multa.</w:t>
      </w:r>
    </w:p>
    <w:p w14:paraId="71DE7F81" w14:textId="77777777" w:rsidR="00E0208F" w:rsidRDefault="00E0208F" w:rsidP="00E0208F">
      <w:pPr>
        <w:pStyle w:val="Standard"/>
        <w:widowControl w:val="0"/>
        <w:numPr>
          <w:ilvl w:val="1"/>
          <w:numId w:val="37"/>
        </w:numPr>
        <w:autoSpaceDN w:val="0"/>
        <w:spacing w:before="40" w:after="40" w:line="360" w:lineRule="auto"/>
        <w:jc w:val="both"/>
        <w:textAlignment w:val="auto"/>
        <w:rPr>
          <w:rFonts w:eastAsia="Times New Roman" w:cs="Times New Roman"/>
          <w:kern w:val="0"/>
          <w:sz w:val="24"/>
          <w:szCs w:val="24"/>
          <w:lang w:eastAsia="en-US"/>
        </w:rPr>
      </w:pPr>
      <w:r>
        <w:rPr>
          <w:rFonts w:eastAsia="Times New Roman" w:cs="Times New Roman"/>
          <w:kern w:val="0"/>
          <w:sz w:val="24"/>
          <w:szCs w:val="24"/>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7FCE7032" w14:textId="77777777" w:rsidR="00E0208F" w:rsidRDefault="00E0208F" w:rsidP="00E0208F">
      <w:pPr>
        <w:pStyle w:val="Standard"/>
        <w:widowControl w:val="0"/>
        <w:numPr>
          <w:ilvl w:val="2"/>
          <w:numId w:val="37"/>
        </w:numPr>
        <w:autoSpaceDN w:val="0"/>
        <w:spacing w:before="40" w:after="40" w:line="360" w:lineRule="auto"/>
        <w:jc w:val="both"/>
        <w:textAlignment w:val="auto"/>
        <w:rPr>
          <w:rFonts w:eastAsia="Times New Roman" w:cs="Times New Roman"/>
          <w:kern w:val="0"/>
          <w:sz w:val="24"/>
          <w:szCs w:val="24"/>
          <w:lang w:eastAsia="en-US"/>
        </w:rPr>
      </w:pPr>
      <w:r>
        <w:rPr>
          <w:rFonts w:eastAsia="Times New Roman" w:cs="Times New Roman"/>
          <w:kern w:val="0"/>
          <w:sz w:val="24"/>
          <w:szCs w:val="24"/>
          <w:lang w:eastAsia="en-US"/>
        </w:rPr>
        <w:t xml:space="preserve">A Advertência – na hipótese de falta leve, desde que não caiba a aplicação de sanção mais grave. </w:t>
      </w:r>
    </w:p>
    <w:p w14:paraId="2DB32394" w14:textId="77777777" w:rsidR="00E0208F" w:rsidRDefault="00E0208F" w:rsidP="00E0208F">
      <w:pPr>
        <w:pStyle w:val="Standard"/>
        <w:widowControl w:val="0"/>
        <w:autoSpaceDN w:val="0"/>
        <w:spacing w:before="40" w:after="40" w:line="360" w:lineRule="auto"/>
        <w:ind w:left="1224"/>
        <w:jc w:val="both"/>
        <w:rPr>
          <w:rFonts w:eastAsia="Times New Roman" w:cs="Times New Roman"/>
          <w:kern w:val="0"/>
          <w:sz w:val="24"/>
          <w:szCs w:val="24"/>
          <w:lang w:eastAsia="en-US"/>
        </w:rPr>
      </w:pPr>
      <w:r>
        <w:rPr>
          <w:rFonts w:eastAsia="Times New Roman" w:cs="Times New Roman"/>
          <w:kern w:val="0"/>
          <w:sz w:val="24"/>
          <w:szCs w:val="24"/>
          <w:lang w:eastAsia="en-US"/>
        </w:rPr>
        <w:t xml:space="preserve">a.1) Considera-se falta leve o descumprimento contratual que não acarrete prejuízo significativo para a Administração e não interfira diretamente na execução do objeto principal da contratação. </w:t>
      </w:r>
    </w:p>
    <w:p w14:paraId="4C68B085" w14:textId="77777777" w:rsidR="00E0208F" w:rsidRDefault="00E0208F" w:rsidP="00E0208F">
      <w:pPr>
        <w:pStyle w:val="Standard"/>
        <w:widowControl w:val="0"/>
        <w:autoSpaceDN w:val="0"/>
        <w:spacing w:before="40" w:after="40" w:line="360" w:lineRule="auto"/>
        <w:ind w:left="1224"/>
        <w:jc w:val="both"/>
        <w:rPr>
          <w:rFonts w:eastAsia="Times New Roman" w:cs="Times New Roman"/>
          <w:kern w:val="0"/>
          <w:sz w:val="24"/>
          <w:szCs w:val="24"/>
          <w:lang w:eastAsia="en-US"/>
        </w:rPr>
      </w:pPr>
      <w:r>
        <w:rPr>
          <w:rFonts w:eastAsia="Times New Roman" w:cs="Times New Roman"/>
          <w:kern w:val="0"/>
          <w:sz w:val="24"/>
          <w:szCs w:val="24"/>
          <w:lang w:eastAsia="en-US"/>
        </w:rPr>
        <w:t xml:space="preserve">a.2) A advertência será aplicada de forma preventiva e pedagógica nas infrações de menor ofensividade e leves (níveis 01 e 02), conforme constam das tabelas abaixo. </w:t>
      </w:r>
    </w:p>
    <w:p w14:paraId="6748AA4B" w14:textId="77777777" w:rsidR="00E0208F" w:rsidRDefault="00E0208F" w:rsidP="00E0208F">
      <w:pPr>
        <w:pStyle w:val="Standard"/>
        <w:widowControl w:val="0"/>
        <w:autoSpaceDN w:val="0"/>
        <w:spacing w:before="40" w:after="40" w:line="360" w:lineRule="auto"/>
        <w:ind w:left="1224"/>
        <w:jc w:val="both"/>
        <w:rPr>
          <w:rFonts w:eastAsia="Times New Roman"/>
        </w:rPr>
      </w:pPr>
      <w:r>
        <w:rPr>
          <w:rFonts w:eastAsia="Times New Roman" w:cs="Times New Roman"/>
          <w:kern w:val="0"/>
          <w:sz w:val="24"/>
          <w:szCs w:val="24"/>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9B9E020" w14:textId="77777777" w:rsidR="00E0208F" w:rsidRPr="00C41731" w:rsidRDefault="00E0208F" w:rsidP="00E0208F">
      <w:pPr>
        <w:pStyle w:val="Default"/>
        <w:spacing w:line="360" w:lineRule="auto"/>
        <w:ind w:left="709"/>
        <w:jc w:val="both"/>
        <w:rPr>
          <w:color w:val="auto"/>
        </w:rPr>
      </w:pPr>
    </w:p>
    <w:p w14:paraId="1AD82683" w14:textId="77777777" w:rsidR="00E0208F" w:rsidRPr="00A37DFF"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bookmarkStart w:id="0" w:name="_Ref99453861"/>
      <w:r w:rsidRPr="00A37DFF">
        <w:rPr>
          <w:b/>
          <w:bCs/>
          <w:color w:val="auto"/>
        </w:rPr>
        <w:t>Multa</w:t>
      </w:r>
      <w:r w:rsidRPr="00A37DFF">
        <w:rPr>
          <w:color w:val="auto"/>
        </w:rPr>
        <w:t xml:space="preserve"> aplicada nas seguintes hipóteses e nas demais previstas na tabela de penalidades deste termo de referência:</w:t>
      </w:r>
      <w:bookmarkEnd w:id="0"/>
    </w:p>
    <w:p w14:paraId="714A1EDE" w14:textId="77777777" w:rsidR="00E0208F" w:rsidRPr="002A7BA4"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bookmarkStart w:id="1" w:name="_Ref99453725"/>
      <w:r w:rsidRPr="002A7BA4">
        <w:rPr>
          <w:color w:val="auto"/>
        </w:rPr>
        <w:t xml:space="preserve">Multa moratória de </w:t>
      </w:r>
      <w:r>
        <w:rPr>
          <w:color w:val="auto"/>
        </w:rPr>
        <w:t>0,5</w:t>
      </w:r>
      <w:r w:rsidRPr="002A7BA4">
        <w:rPr>
          <w:color w:val="auto"/>
        </w:rPr>
        <w:t xml:space="preserve">%sobre o valor total da contratação, por dia de atraso injustificado, limitada sua aplicação até o máximo de </w:t>
      </w:r>
      <w:r>
        <w:rPr>
          <w:color w:val="auto"/>
        </w:rPr>
        <w:t>20</w:t>
      </w:r>
      <w:r w:rsidRPr="002A7BA4">
        <w:rPr>
          <w:color w:val="auto"/>
        </w:rPr>
        <w:t>(</w:t>
      </w:r>
      <w:r>
        <w:rPr>
          <w:color w:val="auto"/>
        </w:rPr>
        <w:t>vinte</w:t>
      </w:r>
      <w:r w:rsidRPr="002A7BA4">
        <w:rPr>
          <w:color w:val="auto"/>
        </w:rPr>
        <w:t>) dias, situação que poderá caracterizar inexecução parcial do contrato.</w:t>
      </w:r>
      <w:bookmarkEnd w:id="1"/>
    </w:p>
    <w:p w14:paraId="438F1C17" w14:textId="77777777" w:rsidR="00E0208F"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t xml:space="preserve">Nos casos em </w:t>
      </w:r>
      <w:r>
        <w:rPr>
          <w:color w:val="auto"/>
        </w:rPr>
        <w:t xml:space="preserve">que </w:t>
      </w:r>
      <w:r w:rsidRPr="679E79CE">
        <w:rPr>
          <w:color w:val="auto"/>
        </w:rPr>
        <w:t>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w:t>
      </w:r>
    </w:p>
    <w:p w14:paraId="6435787E" w14:textId="77777777" w:rsidR="00E0208F" w:rsidRPr="003B0ECE"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003B0ECE">
        <w:rPr>
          <w:color w:val="auto"/>
        </w:rPr>
        <w:lastRenderedPageBreak/>
        <w:t>Considera-se inexecução parcial o atraso superior a 3 (três) dias para início da execução contratual; ou a Interrupção dos serviços definidos no contrato por 5 (cinco) dias seguidos ou 15 (quinze) dias intercalados;</w:t>
      </w:r>
    </w:p>
    <w:p w14:paraId="725C6751" w14:textId="77777777" w:rsidR="00E0208F" w:rsidRPr="003B0ECE"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003B0ECE">
        <w:rPr>
          <w:color w:val="auto"/>
        </w:rPr>
        <w:t>Pela caracterização de inexecução parcial do objeto contratado, será aplicada multa de 20% sobre a parcela inadimplida ou, sobre o valor da fatura correspondente ao período que tenha ocorrido a falta.</w:t>
      </w:r>
    </w:p>
    <w:p w14:paraId="5DF47DB1" w14:textId="77777777" w:rsidR="00E0208F" w:rsidRPr="003B0ECE"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003B0ECE">
        <w:rPr>
          <w:color w:val="auto"/>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0786E577" w14:textId="77777777" w:rsidR="00E0208F" w:rsidRDefault="00E0208F" w:rsidP="00E0208F">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003B0ECE">
        <w:rPr>
          <w:color w:val="auto"/>
        </w:rPr>
        <w:t>Pela caracterização de inexecução total do objeto contratado, será aplicada multa de 30% sobre o valor total do contrato.</w:t>
      </w:r>
    </w:p>
    <w:p w14:paraId="5D1DCADD" w14:textId="77777777" w:rsidR="00E0208F" w:rsidRPr="00FE47C5" w:rsidRDefault="00E0208F" w:rsidP="00E0208F">
      <w:pPr>
        <w:pStyle w:val="Default"/>
        <w:spacing w:line="360" w:lineRule="auto"/>
        <w:ind w:left="709"/>
        <w:jc w:val="both"/>
        <w:rPr>
          <w:color w:val="auto"/>
        </w:rPr>
      </w:pPr>
    </w:p>
    <w:p w14:paraId="5AFC68CF" w14:textId="77777777" w:rsidR="00E0208F" w:rsidRPr="00BB2418" w:rsidRDefault="00E0208F" w:rsidP="00E0208F">
      <w:pPr>
        <w:pStyle w:val="Default"/>
        <w:numPr>
          <w:ilvl w:val="2"/>
          <w:numId w:val="37"/>
        </w:numPr>
        <w:suppressAutoHyphens w:val="0"/>
        <w:autoSpaceDE w:val="0"/>
        <w:autoSpaceDN w:val="0"/>
        <w:adjustRightInd w:val="0"/>
        <w:spacing w:line="360" w:lineRule="auto"/>
        <w:jc w:val="both"/>
        <w:textAlignment w:val="auto"/>
        <w:rPr>
          <w:b/>
          <w:bCs/>
          <w:color w:val="auto"/>
        </w:rPr>
      </w:pPr>
      <w:r w:rsidRPr="679E79CE">
        <w:rPr>
          <w:b/>
          <w:bCs/>
          <w:color w:val="auto"/>
        </w:rPr>
        <w:t xml:space="preserve"> Suspensão temporária de participação em licitação e impedimentos de contratar com o CNMP </w:t>
      </w:r>
      <w:r w:rsidRPr="679E79CE">
        <w:rPr>
          <w:color w:val="auto"/>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204DB5F4" w14:textId="77777777" w:rsidR="00E0208F"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Pr>
          <w:bCs/>
          <w:color w:val="auto"/>
        </w:rPr>
        <w:t>execução insatisfatória das obrigações assumidas contratualmente, no caso de a empresa ter sido sancionada anteriormente com multa e/ou advertência (Prazo – 3 meses);</w:t>
      </w:r>
    </w:p>
    <w:p w14:paraId="604A0291"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não conclusão do objeto contratado no prazo previsto contratualmente (Prazo – 3 meses);</w:t>
      </w:r>
    </w:p>
    <w:p w14:paraId="125165F8"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ensejar o retardamento da execução do objeto do contrato (Prazo – 3 meses);</w:t>
      </w:r>
    </w:p>
    <w:p w14:paraId="57C1A725"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 xml:space="preserve">não manter as condições apresentadas na proposta (Prazo – </w:t>
      </w:r>
      <w:r>
        <w:rPr>
          <w:bCs/>
          <w:color w:val="auto"/>
        </w:rPr>
        <w:t>9</w:t>
      </w:r>
      <w:r w:rsidRPr="00BB2418">
        <w:rPr>
          <w:bCs/>
          <w:color w:val="auto"/>
        </w:rPr>
        <w:t xml:space="preserve"> meses);</w:t>
      </w:r>
    </w:p>
    <w:p w14:paraId="3B361E4B"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não substituição de material entregue em desacordo com as especificações no prazo previsto contratualmente ou concedido pela Administração (Prazo – 6 meses);</w:t>
      </w:r>
    </w:p>
    <w:p w14:paraId="2634F3A5"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lastRenderedPageBreak/>
        <w:t xml:space="preserve">não formalizar o Contrato, Ata de Registro de Preços ou Termo Aditivo, inclusive após manifestar concordância com a prorrogação de vigência ou alteração do objeto, seja para acréscimo ou supressão (Prazo – 12 meses); </w:t>
      </w:r>
    </w:p>
    <w:p w14:paraId="5873D6F5"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 xml:space="preserve">atraso injustificado, superior a 45 (quarenta e cinco) dias, no cumprimento das obrigações assumidas contratualmente, que tenha acarretado prejuízo à Administração (Prazo – 12 meses); </w:t>
      </w:r>
    </w:p>
    <w:p w14:paraId="6F0A62EC" w14:textId="77777777" w:rsidR="00E0208F" w:rsidRPr="00BB2418"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cometimento de irregularidades que acarretem prejuízos à Administração, ensejando a rescisão da contratação por sua culpa (Prazo – 18 meses);</w:t>
      </w:r>
    </w:p>
    <w:p w14:paraId="7C81E37A" w14:textId="77777777" w:rsidR="00E0208F" w:rsidRDefault="00E0208F" w:rsidP="00E0208F">
      <w:pPr>
        <w:pStyle w:val="Default"/>
        <w:numPr>
          <w:ilvl w:val="0"/>
          <w:numId w:val="38"/>
        </w:numPr>
        <w:suppressAutoHyphens w:val="0"/>
        <w:autoSpaceDE w:val="0"/>
        <w:autoSpaceDN w:val="0"/>
        <w:adjustRightInd w:val="0"/>
        <w:spacing w:line="360" w:lineRule="auto"/>
        <w:jc w:val="both"/>
        <w:textAlignment w:val="auto"/>
        <w:rPr>
          <w:bCs/>
          <w:color w:val="auto"/>
        </w:rPr>
      </w:pPr>
      <w:r w:rsidRPr="00BB2418">
        <w:rPr>
          <w:bCs/>
          <w:color w:val="auto"/>
        </w:rPr>
        <w:t>inexecução total do objeto contratado (Prazo – 24 meses).</w:t>
      </w:r>
    </w:p>
    <w:p w14:paraId="1E00C751" w14:textId="77777777" w:rsidR="00E0208F" w:rsidRPr="00C41731" w:rsidRDefault="00E0208F" w:rsidP="00E0208F">
      <w:pPr>
        <w:pStyle w:val="Default"/>
        <w:spacing w:line="360" w:lineRule="auto"/>
        <w:jc w:val="both"/>
        <w:rPr>
          <w:color w:val="FF0000"/>
        </w:rPr>
      </w:pPr>
      <w:r w:rsidRPr="00C41731">
        <w:rPr>
          <w:color w:val="FF0000"/>
        </w:rPr>
        <w:tab/>
      </w:r>
    </w:p>
    <w:p w14:paraId="1EEB3BFB" w14:textId="77777777" w:rsidR="00E0208F" w:rsidRPr="000736D1"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b/>
          <w:bCs/>
          <w:color w:val="auto"/>
        </w:rPr>
      </w:pPr>
      <w:r w:rsidRPr="679E79CE">
        <w:rPr>
          <w:b/>
          <w:bCs/>
          <w:color w:val="auto"/>
        </w:rPr>
        <w:t xml:space="preserve">A declaração de inidoneidade para licitar ou contratar com a Administração Pública, </w:t>
      </w:r>
      <w:r w:rsidRPr="679E79CE">
        <w:rPr>
          <w:color w:val="auto"/>
        </w:rPr>
        <w:t>nos termos do art. 87, IV da Lei nº 8666 de 19993, tem por objetivo punir faltas contratuais gravíssimas e pode ser aplicada nas hipóteses de a contratada:</w:t>
      </w:r>
    </w:p>
    <w:p w14:paraId="4168BF96" w14:textId="77777777" w:rsidR="00E0208F" w:rsidRPr="00BB2418" w:rsidRDefault="00E0208F" w:rsidP="00E0208F">
      <w:pPr>
        <w:pStyle w:val="Default"/>
        <w:numPr>
          <w:ilvl w:val="0"/>
          <w:numId w:val="39"/>
        </w:numPr>
        <w:suppressAutoHyphens w:val="0"/>
        <w:autoSpaceDE w:val="0"/>
        <w:autoSpaceDN w:val="0"/>
        <w:adjustRightInd w:val="0"/>
        <w:spacing w:line="360" w:lineRule="auto"/>
        <w:jc w:val="both"/>
        <w:textAlignment w:val="auto"/>
        <w:rPr>
          <w:color w:val="auto"/>
        </w:rPr>
      </w:pPr>
      <w:r w:rsidRPr="00BB2418">
        <w:rPr>
          <w:color w:val="auto"/>
        </w:rPr>
        <w:t>Sofrer condenação definitiva por praticar, por meio doloso, fraude fiscal no recolhimento de qualquer tributo;</w:t>
      </w:r>
    </w:p>
    <w:p w14:paraId="6A8AA832" w14:textId="77777777" w:rsidR="00E0208F" w:rsidRPr="00BB2418" w:rsidRDefault="00E0208F" w:rsidP="00E0208F">
      <w:pPr>
        <w:pStyle w:val="Default"/>
        <w:numPr>
          <w:ilvl w:val="0"/>
          <w:numId w:val="39"/>
        </w:numPr>
        <w:suppressAutoHyphens w:val="0"/>
        <w:autoSpaceDE w:val="0"/>
        <w:autoSpaceDN w:val="0"/>
        <w:adjustRightInd w:val="0"/>
        <w:spacing w:line="360" w:lineRule="auto"/>
        <w:jc w:val="both"/>
        <w:textAlignment w:val="auto"/>
        <w:rPr>
          <w:color w:val="auto"/>
        </w:rPr>
      </w:pPr>
      <w:r w:rsidRPr="00BB2418">
        <w:rPr>
          <w:color w:val="auto"/>
        </w:rPr>
        <w:t>Praticar ato ilícito visando frustrar os objetivos da licitação;</w:t>
      </w:r>
    </w:p>
    <w:p w14:paraId="646363AC" w14:textId="77777777" w:rsidR="00E0208F" w:rsidRPr="00BB2418" w:rsidRDefault="00E0208F" w:rsidP="00E0208F">
      <w:pPr>
        <w:pStyle w:val="Default"/>
        <w:numPr>
          <w:ilvl w:val="0"/>
          <w:numId w:val="39"/>
        </w:numPr>
        <w:suppressAutoHyphens w:val="0"/>
        <w:autoSpaceDE w:val="0"/>
        <w:autoSpaceDN w:val="0"/>
        <w:adjustRightInd w:val="0"/>
        <w:spacing w:line="360" w:lineRule="auto"/>
        <w:jc w:val="both"/>
        <w:textAlignment w:val="auto"/>
        <w:rPr>
          <w:color w:val="auto"/>
        </w:rPr>
      </w:pPr>
      <w:r w:rsidRPr="00BB2418">
        <w:rPr>
          <w:color w:val="auto"/>
        </w:rPr>
        <w:t>Demonstrar não possuir idoneidade para contratar com a Administração em virtude de atos ilícitos praticados;</w:t>
      </w:r>
    </w:p>
    <w:p w14:paraId="53F3B1B2" w14:textId="250DC0D6" w:rsidR="00E0208F" w:rsidRPr="00BB2418" w:rsidRDefault="00E0208F" w:rsidP="00E0208F">
      <w:pPr>
        <w:pStyle w:val="Default"/>
        <w:numPr>
          <w:ilvl w:val="0"/>
          <w:numId w:val="39"/>
        </w:numPr>
        <w:suppressAutoHyphens w:val="0"/>
        <w:autoSpaceDE w:val="0"/>
        <w:autoSpaceDN w:val="0"/>
        <w:adjustRightInd w:val="0"/>
        <w:spacing w:line="360" w:lineRule="auto"/>
        <w:jc w:val="both"/>
        <w:textAlignment w:val="auto"/>
        <w:rPr>
          <w:color w:val="auto"/>
        </w:rPr>
      </w:pPr>
      <w:r w:rsidRPr="00BB2418">
        <w:rPr>
          <w:color w:val="auto"/>
        </w:rPr>
        <w:t>Praticar ato configurado como crime pelo Capítulo II-B do Título XI do Código Penal (Decreto-Lei n 2848 de 07/12/1940)</w:t>
      </w:r>
      <w:r w:rsidR="00133B10">
        <w:rPr>
          <w:color w:val="auto"/>
        </w:rPr>
        <w:t xml:space="preserve"> </w:t>
      </w:r>
      <w:r w:rsidRPr="00BB2418">
        <w:rPr>
          <w:color w:val="auto"/>
        </w:rPr>
        <w:t>durante a execução do contrato.</w:t>
      </w:r>
    </w:p>
    <w:p w14:paraId="46F4EF4D" w14:textId="77777777" w:rsidR="00E0208F" w:rsidRDefault="00E0208F" w:rsidP="00E0208F">
      <w:pPr>
        <w:pStyle w:val="Default"/>
        <w:numPr>
          <w:ilvl w:val="3"/>
          <w:numId w:val="37"/>
        </w:numPr>
        <w:suppressAutoHyphens w:val="0"/>
        <w:autoSpaceDE w:val="0"/>
        <w:autoSpaceDN w:val="0"/>
        <w:adjustRightInd w:val="0"/>
        <w:spacing w:line="360" w:lineRule="auto"/>
        <w:ind w:left="0" w:firstLine="709"/>
        <w:jc w:val="both"/>
        <w:textAlignment w:val="auto"/>
        <w:rPr>
          <w:color w:val="auto"/>
        </w:rPr>
      </w:pPr>
      <w:r w:rsidRPr="0067725B">
        <w:rPr>
          <w:color w:val="auto"/>
        </w:rPr>
        <w:t>Os efeitos persistirão enquanto durarem os motivos que deram causa à aplicação da penalidade ou até que seja promovida a reabilitação da empresa perante à Administração.</w:t>
      </w:r>
    </w:p>
    <w:p w14:paraId="3D8D3D8E" w14:textId="77777777" w:rsidR="00E0208F" w:rsidRPr="00E973F0" w:rsidRDefault="00E0208F" w:rsidP="00E0208F">
      <w:pPr>
        <w:pStyle w:val="Default"/>
        <w:numPr>
          <w:ilvl w:val="3"/>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reabilitação será concedida sempre que o contratado ressarcir a Administração pelos prejuízos causados e após o decurso de 2 (dois) anos da aplicação </w:t>
      </w:r>
    </w:p>
    <w:p w14:paraId="6E7F4F98" w14:textId="77777777" w:rsidR="00E0208F" w:rsidRPr="00E973F0"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51D6059"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305FFFC" w14:textId="77777777" w:rsidR="00E0208F" w:rsidRPr="00BA2086"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BA2086">
        <w:rPr>
          <w:color w:val="auto"/>
        </w:rPr>
        <w:t>De acordo com o artigo 88, da Lei nº 8.666/93, serão aplicadas as sanções previstas nos incisos III e IV do artigo 87 da referida lei, à CONTRATADA ou aos profissionais que, em razão dos contratos regidos pela citada lei:</w:t>
      </w:r>
    </w:p>
    <w:p w14:paraId="483A5597" w14:textId="77777777" w:rsidR="00E0208F" w:rsidRPr="00BA2086" w:rsidRDefault="00E0208F" w:rsidP="00E0208F">
      <w:pPr>
        <w:pStyle w:val="Default"/>
        <w:numPr>
          <w:ilvl w:val="1"/>
          <w:numId w:val="41"/>
        </w:numPr>
        <w:suppressAutoHyphens w:val="0"/>
        <w:autoSpaceDE w:val="0"/>
        <w:autoSpaceDN w:val="0"/>
        <w:adjustRightInd w:val="0"/>
        <w:spacing w:line="360" w:lineRule="auto"/>
        <w:jc w:val="both"/>
        <w:textAlignment w:val="auto"/>
        <w:rPr>
          <w:color w:val="auto"/>
        </w:rPr>
      </w:pPr>
      <w:r w:rsidRPr="00BA2086">
        <w:rPr>
          <w:color w:val="auto"/>
        </w:rPr>
        <w:t>Tenham sofrido condenação definitiva por praticarem, por meios dolosos, fraudes fiscais no recolhimento de quaisquer tributos;</w:t>
      </w:r>
    </w:p>
    <w:p w14:paraId="00F26331" w14:textId="77777777" w:rsidR="00E0208F" w:rsidRPr="00BA2086" w:rsidRDefault="00E0208F" w:rsidP="00E0208F">
      <w:pPr>
        <w:pStyle w:val="Default"/>
        <w:numPr>
          <w:ilvl w:val="1"/>
          <w:numId w:val="41"/>
        </w:numPr>
        <w:suppressAutoHyphens w:val="0"/>
        <w:autoSpaceDE w:val="0"/>
        <w:autoSpaceDN w:val="0"/>
        <w:adjustRightInd w:val="0"/>
        <w:spacing w:line="360" w:lineRule="auto"/>
        <w:jc w:val="both"/>
        <w:textAlignment w:val="auto"/>
        <w:rPr>
          <w:color w:val="auto"/>
        </w:rPr>
      </w:pPr>
      <w:r w:rsidRPr="00BA2086">
        <w:rPr>
          <w:color w:val="auto"/>
        </w:rPr>
        <w:t>Tenham praticado atos ilícitos visando a frustrar os objetivos da licitação;</w:t>
      </w:r>
    </w:p>
    <w:p w14:paraId="6DD40067" w14:textId="77777777" w:rsidR="00E0208F" w:rsidRPr="00BA2086" w:rsidRDefault="00E0208F" w:rsidP="00E0208F">
      <w:pPr>
        <w:pStyle w:val="Default"/>
        <w:numPr>
          <w:ilvl w:val="1"/>
          <w:numId w:val="41"/>
        </w:numPr>
        <w:suppressAutoHyphens w:val="0"/>
        <w:autoSpaceDE w:val="0"/>
        <w:autoSpaceDN w:val="0"/>
        <w:adjustRightInd w:val="0"/>
        <w:spacing w:line="360" w:lineRule="auto"/>
        <w:jc w:val="both"/>
        <w:textAlignment w:val="auto"/>
        <w:rPr>
          <w:color w:val="auto"/>
        </w:rPr>
      </w:pPr>
      <w:r w:rsidRPr="00BA2086">
        <w:rPr>
          <w:color w:val="auto"/>
        </w:rPr>
        <w:t>Demonstrem não possuir idoneidade para contratar com a Administração em virtude de atos ilícitos praticados.</w:t>
      </w:r>
    </w:p>
    <w:p w14:paraId="792052B2" w14:textId="77777777" w:rsidR="00E0208F" w:rsidRPr="00E973F0" w:rsidRDefault="00E0208F" w:rsidP="00E0208F">
      <w:pPr>
        <w:pStyle w:val="Default"/>
        <w:numPr>
          <w:ilvl w:val="1"/>
          <w:numId w:val="41"/>
        </w:numPr>
        <w:suppressAutoHyphens w:val="0"/>
        <w:autoSpaceDE w:val="0"/>
        <w:autoSpaceDN w:val="0"/>
        <w:adjustRightInd w:val="0"/>
        <w:spacing w:line="360" w:lineRule="auto"/>
        <w:jc w:val="both"/>
        <w:textAlignment w:val="auto"/>
        <w:rPr>
          <w:color w:val="auto"/>
        </w:rPr>
      </w:pPr>
      <w:r w:rsidRPr="00BA2086">
        <w:rPr>
          <w:color w:val="auto"/>
        </w:rPr>
        <w:t>Praticar ato configurado como crime pelo Capítulo II-B do Título XI do Decreto-Lei nº 2.848, de 7 de dezembro de 1940 (Código Penal), durante a execução do contrato.</w:t>
      </w:r>
    </w:p>
    <w:p w14:paraId="681175F7" w14:textId="77777777" w:rsidR="00E0208F" w:rsidRPr="00E973F0"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0E775F4" w14:textId="77777777" w:rsidR="00E0208F" w:rsidRPr="00E973F0"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Na comunicação da aplicação da penalidade de que trata o item anterior, serão informados o nome e a lotação da autoridade que aplicou a sanção, bem como daquela competente para decidir sobre o recurso.</w:t>
      </w:r>
    </w:p>
    <w:p w14:paraId="4AA4B05C" w14:textId="77777777" w:rsidR="00E0208F" w:rsidRPr="00E973F0"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B0EA565" w14:textId="77777777" w:rsidR="00E0208F" w:rsidRPr="00E973F0"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6BEBEF2D" w14:textId="77777777" w:rsidR="00E0208F" w:rsidRPr="00C275FA" w:rsidRDefault="00E0208F" w:rsidP="00E0208F">
      <w:pPr>
        <w:pStyle w:val="Default"/>
        <w:spacing w:line="360" w:lineRule="auto"/>
        <w:ind w:left="709"/>
        <w:jc w:val="both"/>
        <w:rPr>
          <w:color w:val="auto"/>
        </w:rPr>
      </w:pPr>
    </w:p>
    <w:p w14:paraId="5543893B" w14:textId="77777777" w:rsidR="00E0208F" w:rsidRPr="00B70C63"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szCs w:val="24"/>
        </w:rPr>
      </w:pPr>
      <w:r w:rsidRPr="00B70C63">
        <w:rPr>
          <w:b/>
          <w:bCs/>
          <w:color w:val="auto"/>
          <w:szCs w:val="24"/>
        </w:rPr>
        <w:t>TABELA DE PENALIDADES</w:t>
      </w:r>
    </w:p>
    <w:p w14:paraId="1AF48E41" w14:textId="77777777" w:rsidR="00E0208F" w:rsidRPr="00B70C63"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szCs w:val="24"/>
        </w:rPr>
      </w:pPr>
      <w:r w:rsidRPr="00B70C63">
        <w:rPr>
          <w:color w:val="auto"/>
          <w:szCs w:val="24"/>
        </w:rPr>
        <w:t>Considerações iniciais</w:t>
      </w:r>
    </w:p>
    <w:p w14:paraId="330203B8" w14:textId="77777777" w:rsidR="00E0208F" w:rsidRPr="00B70C63"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szCs w:val="24"/>
        </w:rPr>
      </w:pPr>
      <w:r w:rsidRPr="00B70C63">
        <w:rPr>
          <w:color w:val="auto"/>
          <w:szCs w:val="24"/>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F5574D8" w14:textId="77777777" w:rsidR="00E0208F" w:rsidRPr="00B70C63" w:rsidRDefault="00E0208F" w:rsidP="00E0208F">
      <w:pPr>
        <w:pStyle w:val="Default"/>
        <w:numPr>
          <w:ilvl w:val="2"/>
          <w:numId w:val="37"/>
        </w:numPr>
        <w:suppressAutoHyphens w:val="0"/>
        <w:autoSpaceDE w:val="0"/>
        <w:autoSpaceDN w:val="0"/>
        <w:adjustRightInd w:val="0"/>
        <w:spacing w:line="360" w:lineRule="auto"/>
        <w:jc w:val="both"/>
        <w:textAlignment w:val="auto"/>
        <w:rPr>
          <w:color w:val="auto"/>
          <w:szCs w:val="24"/>
        </w:rPr>
      </w:pPr>
      <w:r w:rsidRPr="00B70C63">
        <w:rPr>
          <w:color w:val="auto"/>
          <w:szCs w:val="24"/>
        </w:rPr>
        <w:t xml:space="preserve"> A multa poderá ser acumulada com quaisquer outras sanções e será aplicada na seguinte forma:</w:t>
      </w:r>
    </w:p>
    <w:p w14:paraId="3C707BDA" w14:textId="77777777" w:rsidR="00E0208F" w:rsidRPr="00B70C63" w:rsidRDefault="00E0208F" w:rsidP="00E0208F">
      <w:pPr>
        <w:pStyle w:val="Default"/>
        <w:spacing w:line="360" w:lineRule="auto"/>
        <w:jc w:val="both"/>
        <w:rPr>
          <w:color w:val="auto"/>
          <w:szCs w:val="24"/>
        </w:rPr>
      </w:pPr>
    </w:p>
    <w:p w14:paraId="424C3DED" w14:textId="77777777" w:rsidR="00E0208F" w:rsidRPr="00B70C63" w:rsidRDefault="00E0208F" w:rsidP="00E0208F">
      <w:pPr>
        <w:pStyle w:val="PargrafodaLista"/>
        <w:autoSpaceDE w:val="0"/>
        <w:autoSpaceDN w:val="0"/>
        <w:adjustRightInd w:val="0"/>
        <w:spacing w:line="360" w:lineRule="auto"/>
        <w:ind w:left="0" w:firstLine="709"/>
        <w:rPr>
          <w:rFonts w:eastAsia="Times New Roman" w:cs="Times New Roman"/>
          <w:b/>
          <w:bCs/>
          <w:sz w:val="24"/>
          <w:szCs w:val="24"/>
        </w:rPr>
      </w:pPr>
      <w:r w:rsidRPr="00B70C63">
        <w:rPr>
          <w:rFonts w:eastAsia="Times New Roman" w:cs="Times New Roman"/>
          <w:b/>
          <w:bCs/>
          <w:sz w:val="24"/>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E0208F" w:rsidRPr="00B70C63" w14:paraId="2D15A28B" w14:textId="77777777" w:rsidTr="00F02E5E">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01F07DE0" w14:textId="77777777" w:rsidR="00E0208F" w:rsidRPr="00B70C63" w:rsidRDefault="00E0208F" w:rsidP="00F02E5E">
            <w:pPr>
              <w:spacing w:before="57" w:after="57" w:line="360" w:lineRule="auto"/>
              <w:jc w:val="center"/>
              <w:rPr>
                <w:rFonts w:eastAsia="Times New Roman" w:cs="Times New Roman"/>
                <w:b/>
                <w:bCs/>
              </w:rPr>
            </w:pPr>
            <w:r w:rsidRPr="00B70C63">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219A683" w14:textId="77777777" w:rsidR="00E0208F" w:rsidRPr="00B70C63" w:rsidRDefault="00E0208F" w:rsidP="00F02E5E">
            <w:pPr>
              <w:spacing w:before="57" w:after="57" w:line="360" w:lineRule="auto"/>
              <w:jc w:val="center"/>
              <w:rPr>
                <w:rFonts w:eastAsia="Times New Roman" w:cs="Times New Roman"/>
              </w:rPr>
            </w:pPr>
            <w:r w:rsidRPr="00B70C63">
              <w:rPr>
                <w:rFonts w:eastAsia="Times New Roman" w:cs="Times New Roman"/>
                <w:b/>
                <w:bCs/>
              </w:rPr>
              <w:t xml:space="preserve">MULTA </w:t>
            </w:r>
          </w:p>
        </w:tc>
      </w:tr>
      <w:tr w:rsidR="00E0208F" w:rsidRPr="00B70C63" w14:paraId="60B5715E" w14:textId="77777777" w:rsidTr="00F02E5E">
        <w:trPr>
          <w:trHeight w:val="454"/>
        </w:trPr>
        <w:tc>
          <w:tcPr>
            <w:tcW w:w="4395" w:type="dxa"/>
            <w:tcBorders>
              <w:left w:val="single" w:sz="1" w:space="0" w:color="000000" w:themeColor="text1"/>
              <w:bottom w:val="single" w:sz="1" w:space="0" w:color="000000" w:themeColor="text1"/>
            </w:tcBorders>
            <w:shd w:val="clear" w:color="auto" w:fill="auto"/>
          </w:tcPr>
          <w:p w14:paraId="32098CC1" w14:textId="77777777" w:rsidR="00E0208F" w:rsidRPr="00B70C63" w:rsidRDefault="00E0208F" w:rsidP="00F02E5E">
            <w:pPr>
              <w:spacing w:before="57" w:after="57" w:line="360" w:lineRule="auto"/>
              <w:jc w:val="both"/>
              <w:rPr>
                <w:rFonts w:eastAsia="Times New Roman" w:cs="Times New Roman"/>
                <w:color w:val="000000"/>
              </w:rPr>
            </w:pPr>
            <w:r w:rsidRPr="00B70C63">
              <w:rPr>
                <w:rFonts w:eastAsia="Times New Roman" w:cs="Times New Roman"/>
                <w:color w:val="000000" w:themeColor="text1"/>
              </w:rPr>
              <w:t>1) apresentação de documentação falsa</w:t>
            </w:r>
          </w:p>
          <w:p w14:paraId="33698747" w14:textId="77777777" w:rsidR="00E0208F" w:rsidRPr="00B70C63" w:rsidRDefault="00E0208F" w:rsidP="00F02E5E">
            <w:pPr>
              <w:spacing w:before="57" w:after="57" w:line="360" w:lineRule="auto"/>
              <w:jc w:val="both"/>
              <w:rPr>
                <w:rFonts w:eastAsia="Times New Roman" w:cs="Times New Roman"/>
                <w:color w:val="000000"/>
              </w:rPr>
            </w:pPr>
            <w:r w:rsidRPr="00B70C63">
              <w:rPr>
                <w:rFonts w:eastAsia="Times New Roman" w:cs="Times New Roman"/>
                <w:color w:val="000000" w:themeColor="text1"/>
              </w:rPr>
              <w:t>2) fraude na execução contratual</w:t>
            </w:r>
          </w:p>
          <w:p w14:paraId="72778D5A" w14:textId="77777777" w:rsidR="00E0208F" w:rsidRPr="00B70C63" w:rsidRDefault="00E0208F" w:rsidP="00F02E5E">
            <w:pPr>
              <w:spacing w:before="57" w:after="57" w:line="360" w:lineRule="auto"/>
              <w:jc w:val="both"/>
              <w:rPr>
                <w:rFonts w:eastAsia="Times New Roman" w:cs="Times New Roman"/>
                <w:color w:val="000000"/>
              </w:rPr>
            </w:pPr>
            <w:r w:rsidRPr="00B70C63">
              <w:rPr>
                <w:rFonts w:eastAsia="Times New Roman" w:cs="Times New Roman"/>
                <w:color w:val="000000" w:themeColor="text1"/>
              </w:rPr>
              <w:t>3) comportamento inidôneo</w:t>
            </w:r>
          </w:p>
          <w:p w14:paraId="6F769860" w14:textId="77777777" w:rsidR="00E0208F" w:rsidRPr="00B70C63" w:rsidRDefault="00E0208F" w:rsidP="00F02E5E">
            <w:pPr>
              <w:spacing w:before="57" w:after="57" w:line="360" w:lineRule="auto"/>
              <w:jc w:val="both"/>
              <w:rPr>
                <w:rFonts w:eastAsia="Times New Roman" w:cs="Times New Roman"/>
                <w:color w:val="000000"/>
              </w:rPr>
            </w:pPr>
            <w:r w:rsidRPr="00B70C63">
              <w:rPr>
                <w:rFonts w:eastAsia="Times New Roman" w:cs="Times New Roman"/>
                <w:color w:val="000000" w:themeColor="text1"/>
              </w:rPr>
              <w:t>4) fraude fiscal</w:t>
            </w:r>
          </w:p>
          <w:p w14:paraId="33C07D42" w14:textId="77777777" w:rsidR="00E0208F" w:rsidRPr="00B70C63" w:rsidRDefault="00E0208F" w:rsidP="00F02E5E">
            <w:pPr>
              <w:spacing w:before="57" w:after="57" w:line="360" w:lineRule="auto"/>
              <w:jc w:val="both"/>
              <w:rPr>
                <w:rFonts w:eastAsia="Times New Roman" w:cs="Times New Roman"/>
              </w:rPr>
            </w:pPr>
            <w:r w:rsidRPr="00B70C63">
              <w:rPr>
                <w:rFonts w:eastAsia="Times New Roman" w:cs="Times New Roman"/>
                <w:color w:val="000000" w:themeColor="text1"/>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7A92137B" w14:textId="77777777" w:rsidR="00E0208F" w:rsidRPr="00B70C63" w:rsidRDefault="00E0208F" w:rsidP="00F02E5E">
            <w:pPr>
              <w:autoSpaceDE w:val="0"/>
              <w:spacing w:before="57" w:after="57" w:line="360" w:lineRule="auto"/>
              <w:jc w:val="center"/>
              <w:rPr>
                <w:rFonts w:eastAsia="Times New Roman" w:cs="Times New Roman"/>
              </w:rPr>
            </w:pPr>
          </w:p>
          <w:p w14:paraId="510252F7" w14:textId="77777777" w:rsidR="00E0208F" w:rsidRPr="00B70C63" w:rsidRDefault="00E0208F" w:rsidP="00F02E5E">
            <w:pPr>
              <w:autoSpaceDE w:val="0"/>
              <w:spacing w:before="57" w:after="57" w:line="360" w:lineRule="auto"/>
              <w:jc w:val="center"/>
              <w:rPr>
                <w:rFonts w:eastAsia="Times New Roman" w:cs="Times New Roman"/>
              </w:rPr>
            </w:pPr>
          </w:p>
          <w:p w14:paraId="61359C2E" w14:textId="77777777" w:rsidR="00E0208F" w:rsidRPr="00B70C63" w:rsidRDefault="00E0208F" w:rsidP="00F02E5E">
            <w:pPr>
              <w:autoSpaceDE w:val="0"/>
              <w:spacing w:before="57" w:after="57" w:line="360" w:lineRule="auto"/>
              <w:jc w:val="center"/>
              <w:rPr>
                <w:rFonts w:eastAsia="Times New Roman" w:cs="Times New Roman"/>
              </w:rPr>
            </w:pPr>
            <w:r w:rsidRPr="00B70C63">
              <w:rPr>
                <w:rFonts w:eastAsia="Times New Roman" w:cs="Times New Roman"/>
              </w:rPr>
              <w:t>10% (dez por cento) sobre o valor global do contrato.</w:t>
            </w:r>
          </w:p>
        </w:tc>
      </w:tr>
      <w:tr w:rsidR="00E0208F" w:rsidRPr="00B70C63" w14:paraId="0F4DFACF" w14:textId="77777777" w:rsidTr="00F02E5E">
        <w:trPr>
          <w:trHeight w:val="454"/>
        </w:trPr>
        <w:tc>
          <w:tcPr>
            <w:tcW w:w="4395" w:type="dxa"/>
            <w:tcBorders>
              <w:left w:val="single" w:sz="1" w:space="0" w:color="000000" w:themeColor="text1"/>
              <w:bottom w:val="single" w:sz="4" w:space="0" w:color="auto"/>
            </w:tcBorders>
            <w:shd w:val="clear" w:color="auto" w:fill="auto"/>
          </w:tcPr>
          <w:p w14:paraId="2BCB0921" w14:textId="77777777" w:rsidR="00E0208F" w:rsidRPr="00B70C63" w:rsidRDefault="00E0208F" w:rsidP="00F02E5E">
            <w:pPr>
              <w:spacing w:before="57" w:after="57" w:line="360" w:lineRule="auto"/>
              <w:jc w:val="both"/>
              <w:rPr>
                <w:rFonts w:eastAsia="Times New Roman" w:cs="Times New Roman"/>
              </w:rPr>
            </w:pPr>
            <w:r w:rsidRPr="00B70C63">
              <w:rPr>
                <w:rFonts w:eastAsia="Times New Roman" w:cs="Times New Roman"/>
              </w:rPr>
              <w:t>6) inexecução parcial</w:t>
            </w: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2729F2A2" w14:textId="77777777" w:rsidR="00E0208F" w:rsidRPr="00B70C63" w:rsidRDefault="00E0208F" w:rsidP="00F02E5E">
            <w:pPr>
              <w:autoSpaceDE w:val="0"/>
              <w:spacing w:before="57" w:after="57" w:line="360" w:lineRule="auto"/>
              <w:jc w:val="center"/>
              <w:rPr>
                <w:rFonts w:eastAsia="Times New Roman" w:cs="Times New Roman"/>
              </w:rPr>
            </w:pPr>
            <w:r w:rsidRPr="00B70C63">
              <w:rPr>
                <w:rFonts w:eastAsia="Times New Roman" w:cs="Times New Roman"/>
              </w:rPr>
              <w:t>20% (vinte por cento) sobre a parcela inadimplida ou, sobre o valor da fatura correspondente ao período que tenha ocorrido a falta.</w:t>
            </w:r>
          </w:p>
        </w:tc>
      </w:tr>
      <w:tr w:rsidR="00E0208F" w:rsidRPr="00B70C63" w14:paraId="7BBE4E11" w14:textId="77777777" w:rsidTr="00F02E5E">
        <w:trPr>
          <w:trHeight w:val="45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D9B9564" w14:textId="77777777" w:rsidR="00E0208F" w:rsidRPr="00B70C63" w:rsidRDefault="00E0208F" w:rsidP="00F02E5E">
            <w:pPr>
              <w:spacing w:before="57" w:after="57" w:line="360" w:lineRule="auto"/>
              <w:jc w:val="both"/>
              <w:rPr>
                <w:rFonts w:eastAsia="Times New Roman" w:cs="Times New Roman"/>
              </w:rPr>
            </w:pPr>
            <w:r w:rsidRPr="00B70C63">
              <w:rPr>
                <w:rFonts w:eastAsia="Times New Roman" w:cs="Times New Roman"/>
              </w:rPr>
              <w:t>7) inexecução total</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14BEEE07" w14:textId="77777777" w:rsidR="00E0208F" w:rsidRPr="00B70C63" w:rsidRDefault="00E0208F" w:rsidP="00F02E5E">
            <w:pPr>
              <w:autoSpaceDE w:val="0"/>
              <w:spacing w:before="57" w:after="57" w:line="360" w:lineRule="auto"/>
              <w:jc w:val="center"/>
              <w:rPr>
                <w:rFonts w:eastAsia="Times New Roman" w:cs="Times New Roman"/>
              </w:rPr>
            </w:pPr>
            <w:r w:rsidRPr="00B70C63">
              <w:rPr>
                <w:rFonts w:eastAsia="Times New Roman" w:cs="Times New Roman"/>
              </w:rPr>
              <w:t>30% (trinta por cento) sobre o valor global do contrato.</w:t>
            </w:r>
          </w:p>
        </w:tc>
      </w:tr>
    </w:tbl>
    <w:p w14:paraId="4EC5E5F9" w14:textId="77777777" w:rsidR="00E0208F" w:rsidRPr="00B70C63" w:rsidRDefault="00E0208F" w:rsidP="00E0208F">
      <w:pPr>
        <w:pStyle w:val="Default"/>
        <w:spacing w:line="360" w:lineRule="auto"/>
        <w:jc w:val="both"/>
        <w:rPr>
          <w:color w:val="auto"/>
          <w:szCs w:val="24"/>
        </w:rPr>
      </w:pPr>
    </w:p>
    <w:p w14:paraId="19146EC8" w14:textId="77777777" w:rsidR="00E0208F" w:rsidRPr="00B70C63"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szCs w:val="24"/>
        </w:rPr>
      </w:pPr>
      <w:r w:rsidRPr="00B70C63">
        <w:rPr>
          <w:color w:val="auto"/>
          <w:szCs w:val="24"/>
        </w:rPr>
        <w:t>Além dessas, serão aplicadas multas, conforme as infrações cometidas e o nível de gravidade respectivo, indicados nas tabelas a seguir:</w:t>
      </w:r>
    </w:p>
    <w:p w14:paraId="3FEAA2A8" w14:textId="77777777" w:rsidR="00E0208F" w:rsidRPr="00B70C63" w:rsidRDefault="00E0208F" w:rsidP="00E0208F">
      <w:pPr>
        <w:pStyle w:val="Default"/>
        <w:spacing w:line="360" w:lineRule="auto"/>
        <w:jc w:val="both"/>
        <w:rPr>
          <w:color w:val="auto"/>
          <w:szCs w:val="24"/>
        </w:rPr>
      </w:pPr>
    </w:p>
    <w:p w14:paraId="276EE31F" w14:textId="77777777" w:rsidR="00E0208F" w:rsidRPr="00B70C63" w:rsidRDefault="00E0208F" w:rsidP="00E0208F">
      <w:pPr>
        <w:pStyle w:val="PargrafodaLista"/>
        <w:autoSpaceDE w:val="0"/>
        <w:autoSpaceDN w:val="0"/>
        <w:adjustRightInd w:val="0"/>
        <w:spacing w:line="360" w:lineRule="auto"/>
        <w:ind w:left="0" w:firstLine="709"/>
        <w:rPr>
          <w:rFonts w:eastAsia="Times New Roman" w:cs="Times New Roman"/>
          <w:b/>
          <w:bCs/>
          <w:sz w:val="24"/>
          <w:szCs w:val="24"/>
        </w:rPr>
      </w:pPr>
      <w:r w:rsidRPr="00B70C63">
        <w:rPr>
          <w:rFonts w:eastAsia="Times New Roman" w:cs="Times New Roman"/>
          <w:b/>
          <w:bCs/>
          <w:sz w:val="24"/>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4662"/>
      </w:tblGrid>
      <w:tr w:rsidR="00E0208F" w:rsidRPr="00B70C63" w14:paraId="288CDAD4" w14:textId="77777777" w:rsidTr="00F02E5E">
        <w:trPr>
          <w:trHeight w:val="279"/>
        </w:trPr>
        <w:tc>
          <w:tcPr>
            <w:tcW w:w="3526" w:type="dxa"/>
            <w:shd w:val="clear" w:color="auto" w:fill="BFBFBF" w:themeFill="background1" w:themeFillShade="BF"/>
          </w:tcPr>
          <w:p w14:paraId="640BD8CD"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b/>
                <w:bCs/>
              </w:rPr>
              <w:t>NÍVEL</w:t>
            </w:r>
          </w:p>
        </w:tc>
        <w:tc>
          <w:tcPr>
            <w:tcW w:w="4662" w:type="dxa"/>
            <w:shd w:val="clear" w:color="auto" w:fill="BFBFBF" w:themeFill="background1" w:themeFillShade="BF"/>
          </w:tcPr>
          <w:p w14:paraId="358927AF"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b/>
                <w:bCs/>
              </w:rPr>
              <w:t>CORRESPONDÊNCIA</w:t>
            </w:r>
          </w:p>
          <w:p w14:paraId="69C43E09"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 xml:space="preserve">(por ocorrência sobre o valor global do </w:t>
            </w:r>
            <w:r w:rsidRPr="00B70C63">
              <w:rPr>
                <w:rFonts w:eastAsia="Times New Roman" w:cs="Times New Roman"/>
              </w:rPr>
              <w:lastRenderedPageBreak/>
              <w:t>CONTRATO)</w:t>
            </w:r>
          </w:p>
        </w:tc>
      </w:tr>
      <w:tr w:rsidR="00E0208F" w:rsidRPr="00B70C63" w14:paraId="3FC3B464" w14:textId="77777777" w:rsidTr="00F02E5E">
        <w:trPr>
          <w:trHeight w:val="107"/>
        </w:trPr>
        <w:tc>
          <w:tcPr>
            <w:tcW w:w="3526" w:type="dxa"/>
          </w:tcPr>
          <w:p w14:paraId="3EB3BEA6"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lastRenderedPageBreak/>
              <w:t>1 (leve)</w:t>
            </w:r>
          </w:p>
        </w:tc>
        <w:tc>
          <w:tcPr>
            <w:tcW w:w="4662" w:type="dxa"/>
          </w:tcPr>
          <w:p w14:paraId="10A5B2A9"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2%.</w:t>
            </w:r>
          </w:p>
        </w:tc>
      </w:tr>
      <w:tr w:rsidR="00E0208F" w:rsidRPr="00B70C63" w14:paraId="4DFDA17C" w14:textId="77777777" w:rsidTr="00F02E5E">
        <w:trPr>
          <w:trHeight w:val="107"/>
        </w:trPr>
        <w:tc>
          <w:tcPr>
            <w:tcW w:w="3526" w:type="dxa"/>
          </w:tcPr>
          <w:p w14:paraId="51EC469B"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2 (médio)</w:t>
            </w:r>
          </w:p>
        </w:tc>
        <w:tc>
          <w:tcPr>
            <w:tcW w:w="4662" w:type="dxa"/>
          </w:tcPr>
          <w:p w14:paraId="705D7FD2"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4%.</w:t>
            </w:r>
          </w:p>
        </w:tc>
      </w:tr>
      <w:tr w:rsidR="00E0208F" w:rsidRPr="00B70C63" w14:paraId="04952F2D" w14:textId="77777777" w:rsidTr="00F02E5E">
        <w:trPr>
          <w:trHeight w:val="107"/>
        </w:trPr>
        <w:tc>
          <w:tcPr>
            <w:tcW w:w="3526" w:type="dxa"/>
          </w:tcPr>
          <w:p w14:paraId="1628F82D"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3 (grave)</w:t>
            </w:r>
          </w:p>
        </w:tc>
        <w:tc>
          <w:tcPr>
            <w:tcW w:w="4662" w:type="dxa"/>
          </w:tcPr>
          <w:p w14:paraId="3CC59FEE" w14:textId="77777777" w:rsidR="00E0208F" w:rsidRPr="00B70C63" w:rsidRDefault="00E0208F" w:rsidP="00F02E5E">
            <w:pPr>
              <w:autoSpaceDE w:val="0"/>
              <w:autoSpaceDN w:val="0"/>
              <w:adjustRightInd w:val="0"/>
              <w:spacing w:line="360" w:lineRule="auto"/>
              <w:rPr>
                <w:rFonts w:eastAsia="Times New Roman" w:cs="Times New Roman"/>
              </w:rPr>
            </w:pPr>
            <w:r w:rsidRPr="00B70C63">
              <w:rPr>
                <w:rFonts w:eastAsia="Times New Roman" w:cs="Times New Roman"/>
              </w:rPr>
              <w:t>6%.</w:t>
            </w:r>
          </w:p>
        </w:tc>
      </w:tr>
    </w:tbl>
    <w:p w14:paraId="6A3F9049" w14:textId="77777777" w:rsidR="00E0208F" w:rsidRPr="00C275FA" w:rsidRDefault="00E0208F" w:rsidP="00E0208F">
      <w:pPr>
        <w:pStyle w:val="Default"/>
        <w:spacing w:line="360" w:lineRule="auto"/>
        <w:ind w:firstLine="709"/>
        <w:jc w:val="both"/>
        <w:rPr>
          <w:color w:val="auto"/>
        </w:rPr>
      </w:pPr>
    </w:p>
    <w:p w14:paraId="238F308A" w14:textId="77777777" w:rsidR="00E0208F" w:rsidRPr="009E3DAD" w:rsidRDefault="00E0208F" w:rsidP="00E0208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009E3DAD">
        <w:rPr>
          <w:color w:val="auto"/>
        </w:rPr>
        <w:t>Todas as ocorrências contratuais serão registradas pelo CONTRANTE, que notificará a CONTRATADA dos registros. Serão atribuídos níveis para as ocorrências, conforme tabela abaixo:</w:t>
      </w:r>
    </w:p>
    <w:p w14:paraId="4745E6D0" w14:textId="77777777" w:rsidR="00E0208F" w:rsidRDefault="00E0208F" w:rsidP="00E0208F">
      <w:pPr>
        <w:pStyle w:val="Default"/>
        <w:spacing w:line="360" w:lineRule="auto"/>
        <w:ind w:firstLine="709"/>
        <w:rPr>
          <w:color w:val="auto"/>
        </w:rPr>
      </w:pPr>
    </w:p>
    <w:p w14:paraId="5FB49ABE" w14:textId="77777777" w:rsidR="00E0208F" w:rsidRPr="00C275FA" w:rsidRDefault="00E0208F" w:rsidP="00E0208F">
      <w:pPr>
        <w:pStyle w:val="Default"/>
        <w:spacing w:line="360" w:lineRule="auto"/>
        <w:ind w:firstLine="709"/>
        <w:rPr>
          <w:color w:val="auto"/>
        </w:rPr>
      </w:pPr>
    </w:p>
    <w:p w14:paraId="2EA15B6B" w14:textId="77777777" w:rsidR="00E0208F" w:rsidRPr="00B70C63" w:rsidRDefault="00E0208F" w:rsidP="00E0208F">
      <w:pPr>
        <w:pStyle w:val="Default"/>
        <w:spacing w:line="360" w:lineRule="auto"/>
        <w:ind w:firstLine="709"/>
        <w:jc w:val="both"/>
        <w:rPr>
          <w:color w:val="auto"/>
          <w:szCs w:val="24"/>
        </w:rPr>
      </w:pPr>
      <w:r w:rsidRPr="00B70C63">
        <w:rPr>
          <w:b/>
          <w:bCs/>
          <w:color w:val="auto"/>
          <w:szCs w:val="24"/>
        </w:rPr>
        <w:t>Tabela 3: Infrações e correspondentes 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134"/>
      </w:tblGrid>
      <w:tr w:rsidR="00E0208F" w:rsidRPr="00B70C63" w14:paraId="5CF8487B" w14:textId="77777777" w:rsidTr="00B70C63">
        <w:trPr>
          <w:trHeight w:val="110"/>
        </w:trPr>
        <w:tc>
          <w:tcPr>
            <w:tcW w:w="9180" w:type="dxa"/>
            <w:gridSpan w:val="3"/>
            <w:shd w:val="clear" w:color="auto" w:fill="BFBFBF" w:themeFill="background1" w:themeFillShade="BF"/>
          </w:tcPr>
          <w:p w14:paraId="7F3CDD07" w14:textId="77777777" w:rsidR="00E0208F" w:rsidRPr="00B70C63" w:rsidRDefault="00E0208F" w:rsidP="00F02E5E">
            <w:pPr>
              <w:pStyle w:val="Default"/>
              <w:spacing w:line="360" w:lineRule="auto"/>
              <w:jc w:val="center"/>
              <w:rPr>
                <w:color w:val="auto"/>
                <w:szCs w:val="24"/>
              </w:rPr>
            </w:pPr>
            <w:r w:rsidRPr="00B70C63">
              <w:rPr>
                <w:b/>
                <w:bCs/>
                <w:color w:val="auto"/>
                <w:szCs w:val="24"/>
              </w:rPr>
              <w:t>INFRAÇÃO</w:t>
            </w:r>
          </w:p>
        </w:tc>
      </w:tr>
      <w:tr w:rsidR="00E0208F" w:rsidRPr="00B70C63" w14:paraId="6255E0B9" w14:textId="77777777" w:rsidTr="00B70C63">
        <w:trPr>
          <w:trHeight w:val="110"/>
        </w:trPr>
        <w:tc>
          <w:tcPr>
            <w:tcW w:w="959" w:type="dxa"/>
            <w:shd w:val="clear" w:color="auto" w:fill="BFBFBF" w:themeFill="background1" w:themeFillShade="BF"/>
          </w:tcPr>
          <w:p w14:paraId="3C01891A" w14:textId="77777777" w:rsidR="00E0208F" w:rsidRPr="00B70C63" w:rsidRDefault="00E0208F" w:rsidP="00F02E5E">
            <w:pPr>
              <w:pStyle w:val="Default"/>
              <w:spacing w:line="360" w:lineRule="auto"/>
              <w:jc w:val="center"/>
              <w:rPr>
                <w:color w:val="auto"/>
                <w:szCs w:val="24"/>
              </w:rPr>
            </w:pPr>
            <w:r w:rsidRPr="00B70C63">
              <w:rPr>
                <w:b/>
                <w:bCs/>
                <w:color w:val="auto"/>
                <w:szCs w:val="24"/>
              </w:rPr>
              <w:t>Item</w:t>
            </w:r>
          </w:p>
        </w:tc>
        <w:tc>
          <w:tcPr>
            <w:tcW w:w="7087" w:type="dxa"/>
            <w:shd w:val="clear" w:color="auto" w:fill="BFBFBF" w:themeFill="background1" w:themeFillShade="BF"/>
          </w:tcPr>
          <w:p w14:paraId="21F56BEF" w14:textId="77777777" w:rsidR="00E0208F" w:rsidRPr="00B70C63" w:rsidRDefault="00E0208F" w:rsidP="00F02E5E">
            <w:pPr>
              <w:pStyle w:val="Default"/>
              <w:spacing w:line="360" w:lineRule="auto"/>
              <w:jc w:val="center"/>
              <w:rPr>
                <w:color w:val="auto"/>
                <w:szCs w:val="24"/>
              </w:rPr>
            </w:pPr>
            <w:r w:rsidRPr="00B70C63">
              <w:rPr>
                <w:b/>
                <w:bCs/>
                <w:color w:val="auto"/>
                <w:szCs w:val="24"/>
              </w:rPr>
              <w:t>Descrição</w:t>
            </w:r>
          </w:p>
        </w:tc>
        <w:tc>
          <w:tcPr>
            <w:tcW w:w="1134" w:type="dxa"/>
            <w:shd w:val="clear" w:color="auto" w:fill="BFBFBF" w:themeFill="background1" w:themeFillShade="BF"/>
          </w:tcPr>
          <w:p w14:paraId="5F3A8038" w14:textId="77777777" w:rsidR="00E0208F" w:rsidRPr="00B70C63" w:rsidRDefault="00E0208F" w:rsidP="00F02E5E">
            <w:pPr>
              <w:pStyle w:val="Default"/>
              <w:spacing w:line="360" w:lineRule="auto"/>
              <w:jc w:val="center"/>
              <w:rPr>
                <w:color w:val="auto"/>
                <w:szCs w:val="24"/>
              </w:rPr>
            </w:pPr>
            <w:r w:rsidRPr="00B70C63">
              <w:rPr>
                <w:b/>
                <w:bCs/>
                <w:color w:val="auto"/>
                <w:szCs w:val="24"/>
              </w:rPr>
              <w:t>Nível</w:t>
            </w:r>
          </w:p>
        </w:tc>
      </w:tr>
      <w:tr w:rsidR="00E0208F" w:rsidRPr="00B70C63" w14:paraId="1CDD512E" w14:textId="77777777" w:rsidTr="00B70C63">
        <w:trPr>
          <w:trHeight w:val="197"/>
        </w:trPr>
        <w:tc>
          <w:tcPr>
            <w:tcW w:w="959" w:type="dxa"/>
          </w:tcPr>
          <w:p w14:paraId="139B0721" w14:textId="77777777" w:rsidR="00E0208F" w:rsidRPr="00B70C63" w:rsidRDefault="00E0208F" w:rsidP="00F02E5E">
            <w:pPr>
              <w:pStyle w:val="Default"/>
              <w:spacing w:line="360" w:lineRule="auto"/>
              <w:jc w:val="center"/>
              <w:rPr>
                <w:color w:val="auto"/>
                <w:szCs w:val="24"/>
              </w:rPr>
            </w:pPr>
            <w:r w:rsidRPr="00B70C63">
              <w:rPr>
                <w:color w:val="auto"/>
                <w:szCs w:val="24"/>
              </w:rPr>
              <w:t>1</w:t>
            </w:r>
          </w:p>
        </w:tc>
        <w:tc>
          <w:tcPr>
            <w:tcW w:w="7087" w:type="dxa"/>
          </w:tcPr>
          <w:p w14:paraId="3D6D425F" w14:textId="77777777" w:rsidR="00E0208F" w:rsidRPr="00B70C63" w:rsidRDefault="00E0208F" w:rsidP="00F02E5E">
            <w:pPr>
              <w:pStyle w:val="Default"/>
              <w:jc w:val="both"/>
              <w:rPr>
                <w:color w:val="auto"/>
                <w:szCs w:val="24"/>
              </w:rPr>
            </w:pPr>
            <w:r w:rsidRPr="00B70C63">
              <w:rPr>
                <w:color w:val="auto"/>
                <w:szCs w:val="24"/>
              </w:rPr>
              <w:t>Transferir a outrem, no todo ou em parte, o objeto do contrato sem prévia anuência do CONTRATANTE.</w:t>
            </w:r>
          </w:p>
        </w:tc>
        <w:tc>
          <w:tcPr>
            <w:tcW w:w="1134" w:type="dxa"/>
          </w:tcPr>
          <w:p w14:paraId="239817FF"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4D159886" w14:textId="77777777" w:rsidTr="00B70C63">
        <w:trPr>
          <w:trHeight w:val="107"/>
        </w:trPr>
        <w:tc>
          <w:tcPr>
            <w:tcW w:w="959" w:type="dxa"/>
          </w:tcPr>
          <w:p w14:paraId="71800662"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c>
          <w:tcPr>
            <w:tcW w:w="7087" w:type="dxa"/>
          </w:tcPr>
          <w:p w14:paraId="5781D20A" w14:textId="77777777" w:rsidR="00E0208F" w:rsidRPr="00B70C63" w:rsidRDefault="00E0208F" w:rsidP="00F02E5E">
            <w:pPr>
              <w:pStyle w:val="Default"/>
              <w:jc w:val="both"/>
              <w:rPr>
                <w:color w:val="auto"/>
                <w:szCs w:val="24"/>
              </w:rPr>
            </w:pPr>
            <w:r w:rsidRPr="00B70C63">
              <w:rPr>
                <w:color w:val="auto"/>
                <w:szCs w:val="24"/>
              </w:rPr>
              <w:t>Caucionar ou utilizar o contrato para quaisquer operações financeiras.</w:t>
            </w:r>
          </w:p>
        </w:tc>
        <w:tc>
          <w:tcPr>
            <w:tcW w:w="1134" w:type="dxa"/>
          </w:tcPr>
          <w:p w14:paraId="2A63ADF7"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r>
      <w:tr w:rsidR="00E0208F" w:rsidRPr="00B70C63" w14:paraId="34D1BEED" w14:textId="77777777" w:rsidTr="00B70C63">
        <w:trPr>
          <w:trHeight w:val="288"/>
        </w:trPr>
        <w:tc>
          <w:tcPr>
            <w:tcW w:w="959" w:type="dxa"/>
          </w:tcPr>
          <w:p w14:paraId="50892492"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c>
          <w:tcPr>
            <w:tcW w:w="7087" w:type="dxa"/>
          </w:tcPr>
          <w:p w14:paraId="384CD15A" w14:textId="64810960" w:rsidR="00E0208F" w:rsidRPr="00B70C63" w:rsidRDefault="00E0208F" w:rsidP="00F02E5E">
            <w:pPr>
              <w:pStyle w:val="Default"/>
              <w:jc w:val="both"/>
              <w:rPr>
                <w:color w:val="auto"/>
                <w:szCs w:val="24"/>
              </w:rPr>
            </w:pPr>
            <w:r w:rsidRPr="00B70C63">
              <w:rPr>
                <w:color w:val="auto"/>
                <w:szCs w:val="24"/>
              </w:rPr>
              <w:t>Reproduzir, divulgar ou utilizar, em benefício próprio ou de terceiros, quaisquer</w:t>
            </w:r>
            <w:r w:rsidR="00C6167B">
              <w:rPr>
                <w:color w:val="auto"/>
                <w:szCs w:val="24"/>
              </w:rPr>
              <w:t xml:space="preserve"> </w:t>
            </w:r>
            <w:r w:rsidRPr="00B70C63">
              <w:rPr>
                <w:color w:val="auto"/>
                <w:szCs w:val="24"/>
              </w:rPr>
              <w:t>informações de que tenha tomado ciência em razão da execução dos serviços</w:t>
            </w:r>
            <w:r w:rsidR="00C6167B">
              <w:rPr>
                <w:color w:val="auto"/>
                <w:szCs w:val="24"/>
              </w:rPr>
              <w:t xml:space="preserve"> </w:t>
            </w:r>
            <w:r w:rsidRPr="00B70C63">
              <w:rPr>
                <w:color w:val="auto"/>
                <w:szCs w:val="24"/>
              </w:rPr>
              <w:t>sem o consentimento prévio e por escrito do CONTRATANTE.</w:t>
            </w:r>
          </w:p>
        </w:tc>
        <w:tc>
          <w:tcPr>
            <w:tcW w:w="1134" w:type="dxa"/>
          </w:tcPr>
          <w:p w14:paraId="76083B24"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3E9A3176" w14:textId="77777777" w:rsidTr="00B70C63">
        <w:trPr>
          <w:trHeight w:val="288"/>
        </w:trPr>
        <w:tc>
          <w:tcPr>
            <w:tcW w:w="959" w:type="dxa"/>
          </w:tcPr>
          <w:p w14:paraId="6D9664D5" w14:textId="77777777" w:rsidR="00E0208F" w:rsidRPr="00B70C63" w:rsidRDefault="00E0208F" w:rsidP="00F02E5E">
            <w:pPr>
              <w:pStyle w:val="Default"/>
              <w:spacing w:line="360" w:lineRule="auto"/>
              <w:jc w:val="center"/>
              <w:rPr>
                <w:color w:val="auto"/>
                <w:szCs w:val="24"/>
              </w:rPr>
            </w:pPr>
            <w:r w:rsidRPr="00B70C63">
              <w:rPr>
                <w:color w:val="auto"/>
                <w:szCs w:val="24"/>
              </w:rPr>
              <w:t>4</w:t>
            </w:r>
          </w:p>
        </w:tc>
        <w:tc>
          <w:tcPr>
            <w:tcW w:w="7087" w:type="dxa"/>
          </w:tcPr>
          <w:p w14:paraId="3DA73E4F" w14:textId="2C8AD102" w:rsidR="00E0208F" w:rsidRPr="00B70C63" w:rsidRDefault="00E0208F" w:rsidP="00F02E5E">
            <w:pPr>
              <w:pStyle w:val="Default"/>
              <w:jc w:val="both"/>
              <w:rPr>
                <w:color w:val="auto"/>
                <w:szCs w:val="24"/>
              </w:rPr>
            </w:pPr>
            <w:r w:rsidRPr="00B70C63">
              <w:rPr>
                <w:color w:val="auto"/>
                <w:szCs w:val="24"/>
              </w:rPr>
              <w:t>Utilizar o nome do CONTRATANTE, ou sua qualidade de CONTRATADA, em</w:t>
            </w:r>
            <w:r w:rsidR="00C6167B">
              <w:rPr>
                <w:color w:val="auto"/>
                <w:szCs w:val="24"/>
              </w:rPr>
              <w:t xml:space="preserve"> </w:t>
            </w:r>
            <w:r w:rsidRPr="00B70C63">
              <w:rPr>
                <w:color w:val="auto"/>
                <w:szCs w:val="24"/>
              </w:rPr>
              <w:t>quaisquer atividades de divulgação empresarial, como, por exemplo, em cartões</w:t>
            </w:r>
            <w:r w:rsidR="00C6167B">
              <w:rPr>
                <w:color w:val="auto"/>
                <w:szCs w:val="24"/>
              </w:rPr>
              <w:t xml:space="preserve"> </w:t>
            </w:r>
            <w:r w:rsidRPr="00B70C63">
              <w:rPr>
                <w:color w:val="auto"/>
                <w:szCs w:val="24"/>
              </w:rPr>
              <w:t>de visita, anúncios e impressos.</w:t>
            </w:r>
          </w:p>
        </w:tc>
        <w:tc>
          <w:tcPr>
            <w:tcW w:w="1134" w:type="dxa"/>
          </w:tcPr>
          <w:p w14:paraId="540E2B26"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r>
      <w:tr w:rsidR="00E0208F" w:rsidRPr="00B70C63" w14:paraId="3DA610FC" w14:textId="77777777" w:rsidTr="00B70C63">
        <w:trPr>
          <w:trHeight w:val="197"/>
        </w:trPr>
        <w:tc>
          <w:tcPr>
            <w:tcW w:w="959" w:type="dxa"/>
          </w:tcPr>
          <w:p w14:paraId="3C6861D8" w14:textId="77777777" w:rsidR="00E0208F" w:rsidRPr="00B70C63" w:rsidRDefault="00E0208F" w:rsidP="00F02E5E">
            <w:pPr>
              <w:pStyle w:val="Default"/>
              <w:spacing w:line="360" w:lineRule="auto"/>
              <w:jc w:val="center"/>
              <w:rPr>
                <w:color w:val="auto"/>
                <w:szCs w:val="24"/>
              </w:rPr>
            </w:pPr>
            <w:r w:rsidRPr="00B70C63">
              <w:rPr>
                <w:color w:val="auto"/>
                <w:szCs w:val="24"/>
              </w:rPr>
              <w:t>5</w:t>
            </w:r>
          </w:p>
        </w:tc>
        <w:tc>
          <w:tcPr>
            <w:tcW w:w="7087" w:type="dxa"/>
          </w:tcPr>
          <w:p w14:paraId="0B7E7D7A" w14:textId="58FCC632" w:rsidR="00E0208F" w:rsidRPr="00B70C63" w:rsidRDefault="00E0208F" w:rsidP="00F02E5E">
            <w:pPr>
              <w:pStyle w:val="Default"/>
              <w:jc w:val="both"/>
              <w:rPr>
                <w:color w:val="auto"/>
                <w:szCs w:val="24"/>
              </w:rPr>
            </w:pPr>
            <w:r w:rsidRPr="00B70C63">
              <w:rPr>
                <w:color w:val="auto"/>
                <w:szCs w:val="24"/>
              </w:rPr>
              <w:t>Deixar de relacionar-se com o CONTRATANTE, exclusivamente, por meio do</w:t>
            </w:r>
            <w:r w:rsidR="00C6167B">
              <w:rPr>
                <w:color w:val="auto"/>
                <w:szCs w:val="24"/>
              </w:rPr>
              <w:t xml:space="preserve"> </w:t>
            </w:r>
            <w:r w:rsidRPr="00B70C63">
              <w:rPr>
                <w:color w:val="auto"/>
                <w:szCs w:val="24"/>
              </w:rPr>
              <w:t>fiscal do contrato.</w:t>
            </w:r>
          </w:p>
        </w:tc>
        <w:tc>
          <w:tcPr>
            <w:tcW w:w="1134" w:type="dxa"/>
          </w:tcPr>
          <w:p w14:paraId="0EA07B47" w14:textId="77777777" w:rsidR="00E0208F" w:rsidRPr="00B70C63" w:rsidRDefault="00E0208F" w:rsidP="00F02E5E">
            <w:pPr>
              <w:pStyle w:val="Default"/>
              <w:spacing w:line="360" w:lineRule="auto"/>
              <w:jc w:val="center"/>
              <w:rPr>
                <w:color w:val="auto"/>
                <w:szCs w:val="24"/>
              </w:rPr>
            </w:pPr>
            <w:r w:rsidRPr="00B70C63">
              <w:rPr>
                <w:color w:val="auto"/>
                <w:szCs w:val="24"/>
              </w:rPr>
              <w:t>1</w:t>
            </w:r>
          </w:p>
        </w:tc>
      </w:tr>
      <w:tr w:rsidR="00E0208F" w:rsidRPr="00B70C63" w14:paraId="585D7DDF" w14:textId="77777777" w:rsidTr="00B70C63">
        <w:trPr>
          <w:trHeight w:val="288"/>
        </w:trPr>
        <w:tc>
          <w:tcPr>
            <w:tcW w:w="959" w:type="dxa"/>
          </w:tcPr>
          <w:p w14:paraId="26E6643F" w14:textId="77777777" w:rsidR="00E0208F" w:rsidRPr="00B70C63" w:rsidRDefault="00E0208F" w:rsidP="00F02E5E">
            <w:pPr>
              <w:pStyle w:val="Default"/>
              <w:spacing w:line="360" w:lineRule="auto"/>
              <w:jc w:val="center"/>
              <w:rPr>
                <w:color w:val="auto"/>
                <w:szCs w:val="24"/>
              </w:rPr>
            </w:pPr>
            <w:r w:rsidRPr="00B70C63">
              <w:rPr>
                <w:color w:val="auto"/>
                <w:szCs w:val="24"/>
              </w:rPr>
              <w:t>6</w:t>
            </w:r>
          </w:p>
        </w:tc>
        <w:tc>
          <w:tcPr>
            <w:tcW w:w="7087" w:type="dxa"/>
          </w:tcPr>
          <w:p w14:paraId="6FA09069" w14:textId="4FF449DB" w:rsidR="00E0208F" w:rsidRPr="00B70C63" w:rsidRDefault="00E0208F" w:rsidP="00F02E5E">
            <w:pPr>
              <w:pStyle w:val="Default"/>
              <w:jc w:val="both"/>
              <w:rPr>
                <w:color w:val="auto"/>
                <w:szCs w:val="24"/>
              </w:rPr>
            </w:pPr>
            <w:r w:rsidRPr="00B70C63">
              <w:rPr>
                <w:color w:val="auto"/>
                <w:szCs w:val="24"/>
              </w:rPr>
              <w:t>Deixar de sujeitar-se à fiscalização do CONTRATANTE, que inclui o</w:t>
            </w:r>
            <w:r w:rsidR="00C6167B">
              <w:rPr>
                <w:color w:val="auto"/>
                <w:szCs w:val="24"/>
              </w:rPr>
              <w:t xml:space="preserve"> </w:t>
            </w:r>
            <w:r w:rsidRPr="00B70C63">
              <w:rPr>
                <w:color w:val="auto"/>
                <w:szCs w:val="24"/>
              </w:rPr>
              <w:t>atendimento às orientações do fiscal do contrato e a prestação dos</w:t>
            </w:r>
            <w:r w:rsidR="00C6167B">
              <w:rPr>
                <w:color w:val="auto"/>
                <w:szCs w:val="24"/>
              </w:rPr>
              <w:t xml:space="preserve"> </w:t>
            </w:r>
            <w:r w:rsidRPr="00B70C63">
              <w:rPr>
                <w:color w:val="auto"/>
                <w:szCs w:val="24"/>
              </w:rPr>
              <w:t>esclarecimentos formulados.</w:t>
            </w:r>
          </w:p>
        </w:tc>
        <w:tc>
          <w:tcPr>
            <w:tcW w:w="1134" w:type="dxa"/>
          </w:tcPr>
          <w:p w14:paraId="7DD10FF1"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r>
      <w:tr w:rsidR="00E0208F" w:rsidRPr="00B70C63" w14:paraId="778D727B" w14:textId="77777777" w:rsidTr="00B70C63">
        <w:trPr>
          <w:trHeight w:val="288"/>
        </w:trPr>
        <w:tc>
          <w:tcPr>
            <w:tcW w:w="959" w:type="dxa"/>
          </w:tcPr>
          <w:p w14:paraId="15B2AE74" w14:textId="77777777" w:rsidR="00E0208F" w:rsidRPr="00B70C63" w:rsidRDefault="00E0208F" w:rsidP="00F02E5E">
            <w:pPr>
              <w:pStyle w:val="Default"/>
              <w:spacing w:line="360" w:lineRule="auto"/>
              <w:jc w:val="center"/>
              <w:rPr>
                <w:color w:val="auto"/>
                <w:szCs w:val="24"/>
              </w:rPr>
            </w:pPr>
            <w:r w:rsidRPr="00B70C63">
              <w:rPr>
                <w:color w:val="auto"/>
                <w:szCs w:val="24"/>
              </w:rPr>
              <w:t>7</w:t>
            </w:r>
          </w:p>
        </w:tc>
        <w:tc>
          <w:tcPr>
            <w:tcW w:w="7087" w:type="dxa"/>
          </w:tcPr>
          <w:p w14:paraId="02DB54D6" w14:textId="69C234E4" w:rsidR="00E0208F" w:rsidRPr="00B70C63" w:rsidRDefault="00E0208F" w:rsidP="00F02E5E">
            <w:pPr>
              <w:pStyle w:val="Default"/>
              <w:jc w:val="both"/>
              <w:rPr>
                <w:color w:val="auto"/>
                <w:szCs w:val="24"/>
              </w:rPr>
            </w:pPr>
            <w:r w:rsidRPr="00B70C63">
              <w:rPr>
                <w:color w:val="auto"/>
                <w:szCs w:val="24"/>
              </w:rPr>
              <w:t>Deixar de responsabilizar-se pelos produtos e materiais utilizados na montagem</w:t>
            </w:r>
            <w:r w:rsidR="00C6167B">
              <w:rPr>
                <w:color w:val="auto"/>
                <w:szCs w:val="24"/>
              </w:rPr>
              <w:t xml:space="preserve"> </w:t>
            </w:r>
            <w:r w:rsidRPr="00B70C63">
              <w:rPr>
                <w:color w:val="auto"/>
                <w:szCs w:val="24"/>
              </w:rPr>
              <w:t>do objeto da contratação, assim como substituir imediatamente qualquer</w:t>
            </w:r>
            <w:r w:rsidR="00C6167B">
              <w:rPr>
                <w:color w:val="auto"/>
                <w:szCs w:val="24"/>
              </w:rPr>
              <w:t xml:space="preserve"> </w:t>
            </w:r>
            <w:r w:rsidRPr="00B70C63">
              <w:rPr>
                <w:color w:val="auto"/>
                <w:szCs w:val="24"/>
              </w:rPr>
              <w:t>material que não atenda aos critérios especificados neste termo.</w:t>
            </w:r>
          </w:p>
        </w:tc>
        <w:tc>
          <w:tcPr>
            <w:tcW w:w="1134" w:type="dxa"/>
          </w:tcPr>
          <w:p w14:paraId="33524E2A"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r>
      <w:tr w:rsidR="00E0208F" w:rsidRPr="00B70C63" w14:paraId="45CD1FDB" w14:textId="77777777" w:rsidTr="00B70C63">
        <w:trPr>
          <w:trHeight w:val="107"/>
        </w:trPr>
        <w:tc>
          <w:tcPr>
            <w:tcW w:w="959" w:type="dxa"/>
          </w:tcPr>
          <w:p w14:paraId="086DC5A2" w14:textId="77777777" w:rsidR="00E0208F" w:rsidRPr="00B70C63" w:rsidRDefault="00E0208F" w:rsidP="00F02E5E">
            <w:pPr>
              <w:pStyle w:val="Default"/>
              <w:spacing w:line="360" w:lineRule="auto"/>
              <w:jc w:val="center"/>
              <w:rPr>
                <w:color w:val="auto"/>
                <w:szCs w:val="24"/>
              </w:rPr>
            </w:pPr>
            <w:r w:rsidRPr="00B70C63">
              <w:rPr>
                <w:color w:val="auto"/>
                <w:szCs w:val="24"/>
              </w:rPr>
              <w:t>8</w:t>
            </w:r>
          </w:p>
        </w:tc>
        <w:tc>
          <w:tcPr>
            <w:tcW w:w="7087" w:type="dxa"/>
          </w:tcPr>
          <w:p w14:paraId="76438F85" w14:textId="77777777" w:rsidR="00E0208F" w:rsidRPr="00B70C63" w:rsidRDefault="00E0208F" w:rsidP="00F02E5E">
            <w:pPr>
              <w:pStyle w:val="Default"/>
              <w:jc w:val="both"/>
              <w:rPr>
                <w:color w:val="auto"/>
                <w:szCs w:val="24"/>
              </w:rPr>
            </w:pPr>
            <w:r w:rsidRPr="00B70C63">
              <w:rPr>
                <w:color w:val="auto"/>
                <w:szCs w:val="24"/>
              </w:rPr>
              <w:t>Deixar de zelar pelas instalações do CONTRATANTE</w:t>
            </w:r>
          </w:p>
        </w:tc>
        <w:tc>
          <w:tcPr>
            <w:tcW w:w="1134" w:type="dxa"/>
          </w:tcPr>
          <w:p w14:paraId="18E5DFF3" w14:textId="77777777" w:rsidR="00E0208F" w:rsidRPr="00B70C63" w:rsidRDefault="00E0208F" w:rsidP="00F02E5E">
            <w:pPr>
              <w:pStyle w:val="Default"/>
              <w:spacing w:line="360" w:lineRule="auto"/>
              <w:jc w:val="center"/>
              <w:rPr>
                <w:color w:val="auto"/>
                <w:szCs w:val="24"/>
              </w:rPr>
            </w:pPr>
            <w:r w:rsidRPr="00B70C63">
              <w:rPr>
                <w:color w:val="auto"/>
                <w:szCs w:val="24"/>
              </w:rPr>
              <w:t>1</w:t>
            </w:r>
          </w:p>
        </w:tc>
      </w:tr>
      <w:tr w:rsidR="00E0208F" w:rsidRPr="00B70C63" w14:paraId="660F9AD6" w14:textId="77777777" w:rsidTr="00B70C63">
        <w:trPr>
          <w:trHeight w:val="197"/>
        </w:trPr>
        <w:tc>
          <w:tcPr>
            <w:tcW w:w="959" w:type="dxa"/>
          </w:tcPr>
          <w:p w14:paraId="694BDF56" w14:textId="77777777" w:rsidR="00E0208F" w:rsidRPr="00B70C63" w:rsidRDefault="00E0208F" w:rsidP="00F02E5E">
            <w:pPr>
              <w:pStyle w:val="Default"/>
              <w:spacing w:line="360" w:lineRule="auto"/>
              <w:jc w:val="center"/>
              <w:rPr>
                <w:color w:val="auto"/>
                <w:szCs w:val="24"/>
              </w:rPr>
            </w:pPr>
            <w:r w:rsidRPr="00B70C63">
              <w:rPr>
                <w:color w:val="auto"/>
                <w:szCs w:val="24"/>
              </w:rPr>
              <w:t>9</w:t>
            </w:r>
          </w:p>
        </w:tc>
        <w:tc>
          <w:tcPr>
            <w:tcW w:w="7087" w:type="dxa"/>
          </w:tcPr>
          <w:p w14:paraId="1EC3CAB9" w14:textId="5A7402F7" w:rsidR="00E0208F" w:rsidRPr="00B70C63" w:rsidRDefault="00E0208F" w:rsidP="00F02E5E">
            <w:pPr>
              <w:pStyle w:val="Default"/>
              <w:jc w:val="both"/>
              <w:rPr>
                <w:color w:val="auto"/>
                <w:szCs w:val="24"/>
              </w:rPr>
            </w:pPr>
            <w:r w:rsidRPr="00B70C63">
              <w:rPr>
                <w:color w:val="auto"/>
                <w:szCs w:val="24"/>
              </w:rPr>
              <w:t>Deixar de manter, durante todo o período de vigência contratual, todas as</w:t>
            </w:r>
            <w:r w:rsidR="00C6167B">
              <w:rPr>
                <w:color w:val="auto"/>
                <w:szCs w:val="24"/>
              </w:rPr>
              <w:t xml:space="preserve"> </w:t>
            </w:r>
            <w:r w:rsidRPr="00B70C63">
              <w:rPr>
                <w:color w:val="auto"/>
                <w:szCs w:val="24"/>
              </w:rPr>
              <w:t>condições de habilitação e qualificação que permitiram sua contratação</w:t>
            </w:r>
          </w:p>
        </w:tc>
        <w:tc>
          <w:tcPr>
            <w:tcW w:w="1134" w:type="dxa"/>
          </w:tcPr>
          <w:p w14:paraId="5844E4EF" w14:textId="77777777" w:rsidR="00E0208F" w:rsidRPr="00B70C63" w:rsidRDefault="00E0208F" w:rsidP="00F02E5E">
            <w:pPr>
              <w:pStyle w:val="Default"/>
              <w:spacing w:line="360" w:lineRule="auto"/>
              <w:jc w:val="center"/>
              <w:rPr>
                <w:color w:val="auto"/>
                <w:szCs w:val="24"/>
              </w:rPr>
            </w:pPr>
            <w:r w:rsidRPr="00B70C63">
              <w:rPr>
                <w:color w:val="auto"/>
                <w:szCs w:val="24"/>
              </w:rPr>
              <w:t>1</w:t>
            </w:r>
          </w:p>
        </w:tc>
      </w:tr>
      <w:tr w:rsidR="00E0208F" w:rsidRPr="00B70C63" w14:paraId="0570501B" w14:textId="77777777" w:rsidTr="00B70C63">
        <w:trPr>
          <w:trHeight w:val="197"/>
        </w:trPr>
        <w:tc>
          <w:tcPr>
            <w:tcW w:w="959" w:type="dxa"/>
          </w:tcPr>
          <w:p w14:paraId="7FB3E0CD" w14:textId="77777777" w:rsidR="00E0208F" w:rsidRPr="00B70C63" w:rsidRDefault="00E0208F" w:rsidP="00F02E5E">
            <w:pPr>
              <w:pStyle w:val="Default"/>
              <w:spacing w:line="360" w:lineRule="auto"/>
              <w:jc w:val="center"/>
              <w:rPr>
                <w:color w:val="auto"/>
                <w:szCs w:val="24"/>
              </w:rPr>
            </w:pPr>
            <w:r w:rsidRPr="00B70C63">
              <w:rPr>
                <w:color w:val="auto"/>
                <w:szCs w:val="24"/>
              </w:rPr>
              <w:lastRenderedPageBreak/>
              <w:t>10</w:t>
            </w:r>
          </w:p>
        </w:tc>
        <w:tc>
          <w:tcPr>
            <w:tcW w:w="7087" w:type="dxa"/>
          </w:tcPr>
          <w:p w14:paraId="32C4093E" w14:textId="2FA2AC67" w:rsidR="00E0208F" w:rsidRPr="00B70C63" w:rsidRDefault="00E0208F" w:rsidP="00F02E5E">
            <w:pPr>
              <w:pStyle w:val="Default"/>
              <w:jc w:val="both"/>
              <w:rPr>
                <w:color w:val="auto"/>
                <w:szCs w:val="24"/>
              </w:rPr>
            </w:pPr>
            <w:r w:rsidRPr="00B70C63">
              <w:rPr>
                <w:color w:val="auto"/>
                <w:szCs w:val="24"/>
              </w:rPr>
              <w:t xml:space="preserve">Deixar de disponibilizar e manter atualizados conta de </w:t>
            </w:r>
            <w:r w:rsidRPr="00B70C63">
              <w:rPr>
                <w:i/>
                <w:iCs/>
                <w:color w:val="auto"/>
                <w:szCs w:val="24"/>
              </w:rPr>
              <w:t xml:space="preserve">e-mail, </w:t>
            </w:r>
            <w:r w:rsidRPr="00B70C63">
              <w:rPr>
                <w:color w:val="auto"/>
                <w:szCs w:val="24"/>
              </w:rPr>
              <w:t>endereço e</w:t>
            </w:r>
            <w:r w:rsidR="00C6167B">
              <w:rPr>
                <w:color w:val="auto"/>
                <w:szCs w:val="24"/>
              </w:rPr>
              <w:t xml:space="preserve"> </w:t>
            </w:r>
            <w:r w:rsidRPr="00B70C63">
              <w:rPr>
                <w:color w:val="auto"/>
                <w:szCs w:val="24"/>
              </w:rPr>
              <w:t>telefones comerciais para fins de comunicação formal entre as partes.</w:t>
            </w:r>
          </w:p>
        </w:tc>
        <w:tc>
          <w:tcPr>
            <w:tcW w:w="1134" w:type="dxa"/>
          </w:tcPr>
          <w:p w14:paraId="25A3513D"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609AA43A" w14:textId="77777777" w:rsidTr="00B70C63">
        <w:trPr>
          <w:trHeight w:val="288"/>
        </w:trPr>
        <w:tc>
          <w:tcPr>
            <w:tcW w:w="959" w:type="dxa"/>
          </w:tcPr>
          <w:p w14:paraId="40BDBF1A" w14:textId="77777777" w:rsidR="00E0208F" w:rsidRPr="00B70C63" w:rsidRDefault="00E0208F" w:rsidP="00F02E5E">
            <w:pPr>
              <w:pStyle w:val="Default"/>
              <w:spacing w:line="360" w:lineRule="auto"/>
              <w:jc w:val="center"/>
              <w:rPr>
                <w:color w:val="auto"/>
                <w:szCs w:val="24"/>
              </w:rPr>
            </w:pPr>
            <w:r w:rsidRPr="00B70C63">
              <w:rPr>
                <w:color w:val="auto"/>
                <w:szCs w:val="24"/>
              </w:rPr>
              <w:t>11</w:t>
            </w:r>
          </w:p>
        </w:tc>
        <w:tc>
          <w:tcPr>
            <w:tcW w:w="7087" w:type="dxa"/>
          </w:tcPr>
          <w:p w14:paraId="4A591120" w14:textId="76C9561C" w:rsidR="00E0208F" w:rsidRPr="00B70C63" w:rsidRDefault="00E0208F" w:rsidP="00F02E5E">
            <w:pPr>
              <w:pStyle w:val="Default"/>
              <w:jc w:val="both"/>
              <w:rPr>
                <w:color w:val="auto"/>
                <w:szCs w:val="24"/>
              </w:rPr>
            </w:pPr>
            <w:r w:rsidRPr="00B70C63">
              <w:rPr>
                <w:color w:val="auto"/>
                <w:szCs w:val="24"/>
              </w:rPr>
              <w:t>Deixar de encaminhar documentos fiscais e todas as documentações determinadas</w:t>
            </w:r>
            <w:r w:rsidR="00C6167B">
              <w:rPr>
                <w:color w:val="auto"/>
                <w:szCs w:val="24"/>
              </w:rPr>
              <w:t xml:space="preserve"> </w:t>
            </w:r>
            <w:r w:rsidRPr="00B70C63">
              <w:rPr>
                <w:color w:val="auto"/>
                <w:szCs w:val="24"/>
              </w:rPr>
              <w:t>pelo fiscal do contrato para efeitos de atestar os serviços e comprovar</w:t>
            </w:r>
            <w:r w:rsidR="00C6167B">
              <w:rPr>
                <w:color w:val="auto"/>
                <w:szCs w:val="24"/>
              </w:rPr>
              <w:t xml:space="preserve"> </w:t>
            </w:r>
            <w:r w:rsidRPr="00B70C63">
              <w:rPr>
                <w:color w:val="auto"/>
                <w:szCs w:val="24"/>
              </w:rPr>
              <w:t>regularizações.</w:t>
            </w:r>
          </w:p>
        </w:tc>
        <w:tc>
          <w:tcPr>
            <w:tcW w:w="1134" w:type="dxa"/>
          </w:tcPr>
          <w:p w14:paraId="55F2D9CE" w14:textId="77777777" w:rsidR="00E0208F" w:rsidRPr="00B70C63" w:rsidRDefault="00E0208F" w:rsidP="00F02E5E">
            <w:pPr>
              <w:pStyle w:val="Default"/>
              <w:spacing w:line="360" w:lineRule="auto"/>
              <w:jc w:val="center"/>
              <w:rPr>
                <w:color w:val="auto"/>
                <w:szCs w:val="24"/>
              </w:rPr>
            </w:pPr>
            <w:r w:rsidRPr="00B70C63">
              <w:rPr>
                <w:color w:val="auto"/>
                <w:szCs w:val="24"/>
              </w:rPr>
              <w:t>1</w:t>
            </w:r>
          </w:p>
        </w:tc>
      </w:tr>
      <w:tr w:rsidR="00E0208F" w:rsidRPr="00B70C63" w14:paraId="3CBFCE01" w14:textId="77777777" w:rsidTr="00B70C63">
        <w:trPr>
          <w:trHeight w:val="378"/>
        </w:trPr>
        <w:tc>
          <w:tcPr>
            <w:tcW w:w="959" w:type="dxa"/>
          </w:tcPr>
          <w:p w14:paraId="279B3098" w14:textId="77777777" w:rsidR="00E0208F" w:rsidRPr="00B70C63" w:rsidRDefault="00E0208F" w:rsidP="00F02E5E">
            <w:pPr>
              <w:pStyle w:val="Default"/>
              <w:spacing w:line="360" w:lineRule="auto"/>
              <w:jc w:val="center"/>
              <w:rPr>
                <w:color w:val="auto"/>
                <w:szCs w:val="24"/>
              </w:rPr>
            </w:pPr>
            <w:r w:rsidRPr="00B70C63">
              <w:rPr>
                <w:color w:val="auto"/>
                <w:szCs w:val="24"/>
              </w:rPr>
              <w:t>12</w:t>
            </w:r>
          </w:p>
        </w:tc>
        <w:tc>
          <w:tcPr>
            <w:tcW w:w="7087" w:type="dxa"/>
          </w:tcPr>
          <w:p w14:paraId="07A403CD" w14:textId="147FE6E7" w:rsidR="00E0208F" w:rsidRPr="00B70C63" w:rsidRDefault="00E0208F" w:rsidP="00F02E5E">
            <w:pPr>
              <w:pStyle w:val="Default"/>
              <w:jc w:val="both"/>
              <w:rPr>
                <w:color w:val="auto"/>
                <w:szCs w:val="24"/>
              </w:rPr>
            </w:pPr>
            <w:r w:rsidRPr="00B70C63">
              <w:rPr>
                <w:color w:val="auto"/>
                <w:szCs w:val="24"/>
              </w:rPr>
              <w:t>Deixar de relatar à CONTRATANTE toda e quaisquer irregularidades ocorridas,</w:t>
            </w:r>
            <w:r w:rsidR="00C6167B">
              <w:rPr>
                <w:color w:val="auto"/>
                <w:szCs w:val="24"/>
              </w:rPr>
              <w:t xml:space="preserve"> </w:t>
            </w:r>
            <w:r w:rsidRPr="00B70C63">
              <w:rPr>
                <w:color w:val="auto"/>
                <w:szCs w:val="24"/>
              </w:rPr>
              <w:t>que impeça, altere ou retarde a execução do contrato, efetuando o registro da</w:t>
            </w:r>
            <w:r w:rsidR="00C6167B">
              <w:rPr>
                <w:color w:val="auto"/>
                <w:szCs w:val="24"/>
              </w:rPr>
              <w:t xml:space="preserve"> </w:t>
            </w:r>
            <w:r w:rsidRPr="00B70C63">
              <w:rPr>
                <w:color w:val="auto"/>
                <w:szCs w:val="24"/>
              </w:rPr>
              <w:t>ocorrência com todos os dados e circunstâncias necessárias a seu</w:t>
            </w:r>
            <w:r w:rsidR="00C6167B">
              <w:rPr>
                <w:color w:val="auto"/>
                <w:szCs w:val="24"/>
              </w:rPr>
              <w:t xml:space="preserve"> </w:t>
            </w:r>
            <w:r w:rsidRPr="00B70C63">
              <w:rPr>
                <w:color w:val="auto"/>
                <w:szCs w:val="24"/>
              </w:rPr>
              <w:t>esclarecimento.</w:t>
            </w:r>
          </w:p>
        </w:tc>
        <w:tc>
          <w:tcPr>
            <w:tcW w:w="1134" w:type="dxa"/>
          </w:tcPr>
          <w:p w14:paraId="3A327503" w14:textId="77777777" w:rsidR="00E0208F" w:rsidRPr="00B70C63" w:rsidRDefault="00E0208F" w:rsidP="00F02E5E">
            <w:pPr>
              <w:pStyle w:val="Default"/>
              <w:spacing w:line="360" w:lineRule="auto"/>
              <w:jc w:val="center"/>
              <w:rPr>
                <w:color w:val="auto"/>
                <w:szCs w:val="24"/>
              </w:rPr>
            </w:pPr>
            <w:r w:rsidRPr="00B70C63">
              <w:rPr>
                <w:color w:val="auto"/>
                <w:szCs w:val="24"/>
              </w:rPr>
              <w:t>2</w:t>
            </w:r>
          </w:p>
        </w:tc>
      </w:tr>
      <w:tr w:rsidR="00E0208F" w:rsidRPr="00B70C63" w14:paraId="7027075E" w14:textId="77777777" w:rsidTr="00B70C63">
        <w:trPr>
          <w:trHeight w:val="197"/>
        </w:trPr>
        <w:tc>
          <w:tcPr>
            <w:tcW w:w="959" w:type="dxa"/>
          </w:tcPr>
          <w:p w14:paraId="254ED501" w14:textId="77777777" w:rsidR="00E0208F" w:rsidRPr="00B70C63" w:rsidRDefault="00E0208F" w:rsidP="00F02E5E">
            <w:pPr>
              <w:pStyle w:val="Default"/>
              <w:spacing w:line="360" w:lineRule="auto"/>
              <w:jc w:val="center"/>
              <w:rPr>
                <w:color w:val="auto"/>
                <w:szCs w:val="24"/>
              </w:rPr>
            </w:pPr>
            <w:r w:rsidRPr="00B70C63">
              <w:rPr>
                <w:color w:val="auto"/>
                <w:szCs w:val="24"/>
              </w:rPr>
              <w:t>13</w:t>
            </w:r>
          </w:p>
        </w:tc>
        <w:tc>
          <w:tcPr>
            <w:tcW w:w="7087" w:type="dxa"/>
          </w:tcPr>
          <w:p w14:paraId="5C4E5CA1" w14:textId="09C9F43A" w:rsidR="00E0208F" w:rsidRPr="00B70C63" w:rsidRDefault="00E0208F" w:rsidP="00F02E5E">
            <w:pPr>
              <w:pStyle w:val="Default"/>
              <w:jc w:val="both"/>
              <w:rPr>
                <w:color w:val="auto"/>
                <w:szCs w:val="24"/>
              </w:rPr>
            </w:pPr>
            <w:r w:rsidRPr="00B70C63">
              <w:rPr>
                <w:color w:val="auto"/>
                <w:szCs w:val="24"/>
              </w:rPr>
              <w:t>Suspender ou interromper, salvo motivo de força maior ou caso fortuito, a</w:t>
            </w:r>
            <w:r w:rsidR="00C6167B">
              <w:rPr>
                <w:color w:val="auto"/>
                <w:szCs w:val="24"/>
              </w:rPr>
              <w:t xml:space="preserve"> </w:t>
            </w:r>
            <w:r w:rsidRPr="00B70C63">
              <w:rPr>
                <w:color w:val="auto"/>
                <w:szCs w:val="24"/>
              </w:rPr>
              <w:t>execução do objeto.</w:t>
            </w:r>
          </w:p>
        </w:tc>
        <w:tc>
          <w:tcPr>
            <w:tcW w:w="1134" w:type="dxa"/>
          </w:tcPr>
          <w:p w14:paraId="45448174"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68CD66CA" w14:textId="77777777" w:rsidTr="00B70C63">
        <w:trPr>
          <w:trHeight w:val="107"/>
        </w:trPr>
        <w:tc>
          <w:tcPr>
            <w:tcW w:w="959" w:type="dxa"/>
          </w:tcPr>
          <w:p w14:paraId="2452A540" w14:textId="77777777" w:rsidR="00E0208F" w:rsidRPr="00B70C63" w:rsidRDefault="00E0208F" w:rsidP="00F02E5E">
            <w:pPr>
              <w:pStyle w:val="Default"/>
              <w:spacing w:line="360" w:lineRule="auto"/>
              <w:jc w:val="center"/>
              <w:rPr>
                <w:color w:val="auto"/>
                <w:szCs w:val="24"/>
              </w:rPr>
            </w:pPr>
            <w:r w:rsidRPr="00B70C63">
              <w:rPr>
                <w:color w:val="auto"/>
                <w:szCs w:val="24"/>
              </w:rPr>
              <w:t>14</w:t>
            </w:r>
          </w:p>
        </w:tc>
        <w:tc>
          <w:tcPr>
            <w:tcW w:w="7087" w:type="dxa"/>
          </w:tcPr>
          <w:p w14:paraId="119A44B8" w14:textId="77777777" w:rsidR="00E0208F" w:rsidRPr="00B70C63" w:rsidRDefault="00E0208F" w:rsidP="00F02E5E">
            <w:pPr>
              <w:pStyle w:val="Default"/>
              <w:spacing w:line="360" w:lineRule="auto"/>
              <w:jc w:val="both"/>
              <w:rPr>
                <w:color w:val="auto"/>
                <w:szCs w:val="24"/>
              </w:rPr>
            </w:pPr>
            <w:r w:rsidRPr="00B70C63">
              <w:rPr>
                <w:color w:val="auto"/>
                <w:szCs w:val="24"/>
              </w:rPr>
              <w:t>Recusar fornecimento determinado pela fiscalização sem motivo justificado.</w:t>
            </w:r>
          </w:p>
        </w:tc>
        <w:tc>
          <w:tcPr>
            <w:tcW w:w="1134" w:type="dxa"/>
          </w:tcPr>
          <w:p w14:paraId="664B10B9"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25C61019" w14:textId="77777777" w:rsidTr="00B70C63">
        <w:trPr>
          <w:trHeight w:val="197"/>
        </w:trPr>
        <w:tc>
          <w:tcPr>
            <w:tcW w:w="959" w:type="dxa"/>
          </w:tcPr>
          <w:p w14:paraId="2AED4E91" w14:textId="77777777" w:rsidR="00E0208F" w:rsidRPr="00B70C63" w:rsidRDefault="00E0208F" w:rsidP="00F02E5E">
            <w:pPr>
              <w:pStyle w:val="Default"/>
              <w:spacing w:line="360" w:lineRule="auto"/>
              <w:jc w:val="center"/>
              <w:rPr>
                <w:color w:val="auto"/>
                <w:szCs w:val="24"/>
              </w:rPr>
            </w:pPr>
            <w:r w:rsidRPr="00B70C63">
              <w:rPr>
                <w:color w:val="auto"/>
                <w:szCs w:val="24"/>
              </w:rPr>
              <w:t>15</w:t>
            </w:r>
          </w:p>
        </w:tc>
        <w:tc>
          <w:tcPr>
            <w:tcW w:w="7087" w:type="dxa"/>
          </w:tcPr>
          <w:p w14:paraId="6CEBDBD4" w14:textId="23AB136A" w:rsidR="00E0208F" w:rsidRPr="00B70C63" w:rsidRDefault="00E0208F" w:rsidP="00F02E5E">
            <w:pPr>
              <w:pStyle w:val="Default"/>
              <w:spacing w:line="360" w:lineRule="auto"/>
              <w:jc w:val="both"/>
              <w:rPr>
                <w:color w:val="auto"/>
                <w:szCs w:val="24"/>
              </w:rPr>
            </w:pPr>
            <w:r w:rsidRPr="00B70C63">
              <w:rPr>
                <w:color w:val="auto"/>
                <w:szCs w:val="24"/>
              </w:rPr>
              <w:t>Retirar das dependências do CNMP quaisquer equipamentos ou materiais de</w:t>
            </w:r>
            <w:r w:rsidR="00C6167B">
              <w:rPr>
                <w:color w:val="auto"/>
                <w:szCs w:val="24"/>
              </w:rPr>
              <w:t xml:space="preserve"> </w:t>
            </w:r>
            <w:r w:rsidRPr="00B70C63">
              <w:rPr>
                <w:color w:val="auto"/>
                <w:szCs w:val="24"/>
              </w:rPr>
              <w:t>consumo sem autorização prévia.</w:t>
            </w:r>
          </w:p>
        </w:tc>
        <w:tc>
          <w:tcPr>
            <w:tcW w:w="1134" w:type="dxa"/>
          </w:tcPr>
          <w:p w14:paraId="2F5D34F9"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r w:rsidR="00E0208F" w:rsidRPr="00B70C63" w14:paraId="555ABF9A" w14:textId="77777777" w:rsidTr="00B70C63">
        <w:trPr>
          <w:trHeight w:val="107"/>
        </w:trPr>
        <w:tc>
          <w:tcPr>
            <w:tcW w:w="959" w:type="dxa"/>
          </w:tcPr>
          <w:p w14:paraId="3A64482E" w14:textId="77777777" w:rsidR="00E0208F" w:rsidRPr="00B70C63" w:rsidRDefault="00E0208F" w:rsidP="00F02E5E">
            <w:pPr>
              <w:pStyle w:val="Default"/>
              <w:spacing w:line="360" w:lineRule="auto"/>
              <w:jc w:val="center"/>
              <w:rPr>
                <w:color w:val="auto"/>
                <w:szCs w:val="24"/>
              </w:rPr>
            </w:pPr>
            <w:r w:rsidRPr="00B70C63">
              <w:rPr>
                <w:color w:val="auto"/>
                <w:szCs w:val="24"/>
              </w:rPr>
              <w:t>16</w:t>
            </w:r>
          </w:p>
        </w:tc>
        <w:tc>
          <w:tcPr>
            <w:tcW w:w="7087" w:type="dxa"/>
          </w:tcPr>
          <w:p w14:paraId="3431CFEC" w14:textId="77777777" w:rsidR="00E0208F" w:rsidRPr="00B70C63" w:rsidRDefault="00E0208F" w:rsidP="00F02E5E">
            <w:pPr>
              <w:pStyle w:val="Default"/>
              <w:spacing w:line="360" w:lineRule="auto"/>
              <w:jc w:val="both"/>
              <w:rPr>
                <w:color w:val="auto"/>
                <w:szCs w:val="24"/>
              </w:rPr>
            </w:pPr>
            <w:r w:rsidRPr="00B70C63">
              <w:rPr>
                <w:color w:val="auto"/>
                <w:szCs w:val="24"/>
              </w:rPr>
              <w:t>Destruir ou danificar documentos por culpa ou dolo de seus agentes.</w:t>
            </w:r>
          </w:p>
        </w:tc>
        <w:tc>
          <w:tcPr>
            <w:tcW w:w="1134" w:type="dxa"/>
          </w:tcPr>
          <w:p w14:paraId="760267F3" w14:textId="77777777" w:rsidR="00E0208F" w:rsidRPr="00B70C63" w:rsidRDefault="00E0208F" w:rsidP="00F02E5E">
            <w:pPr>
              <w:pStyle w:val="Default"/>
              <w:spacing w:line="360" w:lineRule="auto"/>
              <w:jc w:val="center"/>
              <w:rPr>
                <w:color w:val="auto"/>
                <w:szCs w:val="24"/>
              </w:rPr>
            </w:pPr>
            <w:r w:rsidRPr="00B70C63">
              <w:rPr>
                <w:color w:val="auto"/>
                <w:szCs w:val="24"/>
              </w:rPr>
              <w:t>3</w:t>
            </w:r>
          </w:p>
        </w:tc>
      </w:tr>
    </w:tbl>
    <w:p w14:paraId="15754732" w14:textId="77777777" w:rsidR="00E0208F" w:rsidRPr="00B70C63" w:rsidRDefault="00E0208F" w:rsidP="00E0208F">
      <w:pPr>
        <w:pStyle w:val="Default"/>
        <w:spacing w:line="360" w:lineRule="auto"/>
        <w:ind w:left="709"/>
        <w:jc w:val="both"/>
        <w:rPr>
          <w:color w:val="auto"/>
          <w:szCs w:val="24"/>
        </w:rPr>
      </w:pPr>
    </w:p>
    <w:p w14:paraId="4F39113F" w14:textId="77777777" w:rsidR="00E0208F" w:rsidRPr="00B70C63"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szCs w:val="24"/>
        </w:rPr>
      </w:pPr>
      <w:r w:rsidRPr="00B70C63">
        <w:rPr>
          <w:color w:val="auto"/>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B576DAF"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B70C63">
        <w:rPr>
          <w:color w:val="auto"/>
          <w:szCs w:val="24"/>
        </w:rPr>
        <w:t>Em caso de registro de infração na qual a CONTRATADA apresente justificativa razoável e aceita pelo fiscal</w:t>
      </w:r>
      <w:r w:rsidRPr="679E79CE">
        <w:rPr>
          <w:color w:val="auto"/>
        </w:rPr>
        <w:t xml:space="preserve"> do contrato, o nível da infração poderá ser desconsiderado ou inserido em uma categoria de menor gravidade. </w:t>
      </w:r>
    </w:p>
    <w:p w14:paraId="4417BD92" w14:textId="77777777" w:rsidR="00E0208F"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inexecução parcial ou total do contrato será configurada, entre outras hipóteses, na ocorrência de, pelo menos, uma das seguintes situações:</w:t>
      </w:r>
    </w:p>
    <w:p w14:paraId="5DD07290" w14:textId="77777777" w:rsidR="00E0208F" w:rsidRPr="00C275FA" w:rsidRDefault="00E0208F" w:rsidP="00E0208F">
      <w:pPr>
        <w:pStyle w:val="Default"/>
        <w:spacing w:line="360" w:lineRule="auto"/>
        <w:jc w:val="both"/>
        <w:rPr>
          <w:color w:val="auto"/>
        </w:rPr>
      </w:pPr>
    </w:p>
    <w:p w14:paraId="20C7E711" w14:textId="77777777" w:rsidR="00E0208F" w:rsidRPr="00F02E5E" w:rsidRDefault="00E0208F" w:rsidP="00E0208F">
      <w:pPr>
        <w:pStyle w:val="Default"/>
        <w:spacing w:line="360" w:lineRule="auto"/>
        <w:ind w:firstLine="709"/>
        <w:rPr>
          <w:color w:val="auto"/>
          <w:szCs w:val="24"/>
        </w:rPr>
      </w:pPr>
      <w:r w:rsidRPr="00F02E5E">
        <w:rPr>
          <w:b/>
          <w:bCs/>
          <w:color w:val="auto"/>
          <w:szCs w:val="24"/>
        </w:rPr>
        <w:t>Tabela 4: Qualificação da inexecução contratual</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3402"/>
      </w:tblGrid>
      <w:tr w:rsidR="00E0208F" w:rsidRPr="00F02E5E" w14:paraId="276A44B7" w14:textId="77777777" w:rsidTr="00F02E5E">
        <w:trPr>
          <w:trHeight w:val="215"/>
          <w:jc w:val="center"/>
        </w:trPr>
        <w:tc>
          <w:tcPr>
            <w:tcW w:w="959" w:type="dxa"/>
            <w:vMerge w:val="restart"/>
            <w:shd w:val="clear" w:color="auto" w:fill="BFBFBF" w:themeFill="background1" w:themeFillShade="BF"/>
            <w:vAlign w:val="center"/>
          </w:tcPr>
          <w:p w14:paraId="2FF8281B" w14:textId="77777777" w:rsidR="00E0208F" w:rsidRPr="00F02E5E" w:rsidRDefault="00E0208F" w:rsidP="00F02E5E">
            <w:pPr>
              <w:autoSpaceDE w:val="0"/>
              <w:autoSpaceDN w:val="0"/>
              <w:adjustRightInd w:val="0"/>
              <w:spacing w:line="360" w:lineRule="auto"/>
              <w:jc w:val="center"/>
              <w:rPr>
                <w:rFonts w:eastAsia="Times New Roman" w:cs="Times New Roman"/>
              </w:rPr>
            </w:pPr>
            <w:r w:rsidRPr="00F02E5E">
              <w:rPr>
                <w:rFonts w:eastAsia="Times New Roman" w:cs="Times New Roman"/>
                <w:b/>
                <w:bCs/>
              </w:rPr>
              <w:t>GRAU</w:t>
            </w:r>
          </w:p>
        </w:tc>
        <w:tc>
          <w:tcPr>
            <w:tcW w:w="6379" w:type="dxa"/>
            <w:gridSpan w:val="2"/>
            <w:shd w:val="clear" w:color="auto" w:fill="BFBFBF" w:themeFill="background1" w:themeFillShade="BF"/>
            <w:vAlign w:val="center"/>
          </w:tcPr>
          <w:p w14:paraId="5E275EBC" w14:textId="77777777" w:rsidR="00E0208F" w:rsidRPr="00F02E5E" w:rsidRDefault="00E0208F" w:rsidP="00F02E5E">
            <w:pPr>
              <w:autoSpaceDE w:val="0"/>
              <w:autoSpaceDN w:val="0"/>
              <w:adjustRightInd w:val="0"/>
              <w:spacing w:line="360" w:lineRule="auto"/>
              <w:jc w:val="center"/>
              <w:rPr>
                <w:rFonts w:eastAsia="Times New Roman" w:cs="Times New Roman"/>
                <w:b/>
                <w:bCs/>
              </w:rPr>
            </w:pPr>
            <w:r w:rsidRPr="00F02E5E">
              <w:rPr>
                <w:rFonts w:eastAsia="Times New Roman" w:cs="Times New Roman"/>
                <w:b/>
                <w:bCs/>
              </w:rPr>
              <w:t>QUANTIDADE DE INFRAÇÕES</w:t>
            </w:r>
          </w:p>
        </w:tc>
      </w:tr>
      <w:tr w:rsidR="00E0208F" w:rsidRPr="00F02E5E" w14:paraId="61B85D4D" w14:textId="77777777" w:rsidTr="00F02E5E">
        <w:trPr>
          <w:trHeight w:val="214"/>
          <w:jc w:val="center"/>
        </w:trPr>
        <w:tc>
          <w:tcPr>
            <w:tcW w:w="959" w:type="dxa"/>
            <w:vMerge/>
            <w:vAlign w:val="center"/>
          </w:tcPr>
          <w:p w14:paraId="32DAE1F8" w14:textId="77777777" w:rsidR="00E0208F" w:rsidRPr="00F02E5E" w:rsidRDefault="00E0208F" w:rsidP="00F02E5E">
            <w:pPr>
              <w:autoSpaceDE w:val="0"/>
              <w:autoSpaceDN w:val="0"/>
              <w:adjustRightInd w:val="0"/>
              <w:spacing w:line="360" w:lineRule="auto"/>
              <w:jc w:val="center"/>
              <w:rPr>
                <w:rFonts w:cs="Times New Roman"/>
                <w:b/>
                <w:bCs/>
              </w:rPr>
            </w:pPr>
          </w:p>
        </w:tc>
        <w:tc>
          <w:tcPr>
            <w:tcW w:w="2977" w:type="dxa"/>
            <w:shd w:val="clear" w:color="auto" w:fill="BFBFBF" w:themeFill="background1" w:themeFillShade="BF"/>
            <w:vAlign w:val="center"/>
          </w:tcPr>
          <w:p w14:paraId="121BB77F" w14:textId="77777777" w:rsidR="00E0208F" w:rsidRPr="00F02E5E" w:rsidRDefault="00E0208F" w:rsidP="00F02E5E">
            <w:pPr>
              <w:autoSpaceDE w:val="0"/>
              <w:autoSpaceDN w:val="0"/>
              <w:adjustRightInd w:val="0"/>
              <w:spacing w:line="360" w:lineRule="auto"/>
              <w:jc w:val="center"/>
              <w:rPr>
                <w:rFonts w:eastAsia="Times New Roman" w:cs="Times New Roman"/>
                <w:b/>
                <w:bCs/>
              </w:rPr>
            </w:pPr>
            <w:r w:rsidRPr="00F02E5E">
              <w:rPr>
                <w:rFonts w:eastAsia="Times New Roman" w:cs="Times New Roman"/>
                <w:b/>
                <w:bCs/>
              </w:rPr>
              <w:t>Inexecução Parcial</w:t>
            </w:r>
          </w:p>
        </w:tc>
        <w:tc>
          <w:tcPr>
            <w:tcW w:w="3402" w:type="dxa"/>
            <w:shd w:val="clear" w:color="auto" w:fill="BFBFBF" w:themeFill="background1" w:themeFillShade="BF"/>
            <w:vAlign w:val="center"/>
          </w:tcPr>
          <w:p w14:paraId="4C5B32CA" w14:textId="77777777" w:rsidR="00E0208F" w:rsidRPr="00F02E5E" w:rsidRDefault="00E0208F" w:rsidP="00F02E5E">
            <w:pPr>
              <w:autoSpaceDE w:val="0"/>
              <w:autoSpaceDN w:val="0"/>
              <w:adjustRightInd w:val="0"/>
              <w:spacing w:line="360" w:lineRule="auto"/>
              <w:jc w:val="center"/>
              <w:rPr>
                <w:rFonts w:eastAsia="Times New Roman" w:cs="Times New Roman"/>
                <w:b/>
                <w:bCs/>
              </w:rPr>
            </w:pPr>
            <w:r w:rsidRPr="00F02E5E">
              <w:rPr>
                <w:rFonts w:eastAsia="Times New Roman" w:cs="Times New Roman"/>
                <w:b/>
                <w:bCs/>
              </w:rPr>
              <w:t>Inexecução Total</w:t>
            </w:r>
          </w:p>
        </w:tc>
      </w:tr>
      <w:tr w:rsidR="00E0208F" w:rsidRPr="00F02E5E" w14:paraId="19425BFF" w14:textId="77777777" w:rsidTr="00F02E5E">
        <w:trPr>
          <w:trHeight w:val="107"/>
          <w:jc w:val="center"/>
        </w:trPr>
        <w:tc>
          <w:tcPr>
            <w:tcW w:w="959" w:type="dxa"/>
            <w:vAlign w:val="center"/>
          </w:tcPr>
          <w:p w14:paraId="78E03EB7" w14:textId="77777777" w:rsidR="00E0208F" w:rsidRPr="00F02E5E" w:rsidRDefault="00E0208F" w:rsidP="00F02E5E">
            <w:pPr>
              <w:autoSpaceDE w:val="0"/>
              <w:autoSpaceDN w:val="0"/>
              <w:adjustRightInd w:val="0"/>
              <w:spacing w:line="360" w:lineRule="auto"/>
              <w:jc w:val="center"/>
              <w:rPr>
                <w:rFonts w:eastAsia="Times New Roman" w:cs="Times New Roman"/>
              </w:rPr>
            </w:pPr>
            <w:r w:rsidRPr="00F02E5E">
              <w:rPr>
                <w:rFonts w:eastAsia="Times New Roman" w:cs="Times New Roman"/>
              </w:rPr>
              <w:t>1</w:t>
            </w:r>
          </w:p>
        </w:tc>
        <w:tc>
          <w:tcPr>
            <w:tcW w:w="2977" w:type="dxa"/>
            <w:vAlign w:val="center"/>
          </w:tcPr>
          <w:p w14:paraId="4DD2FA53" w14:textId="77777777" w:rsidR="00E0208F" w:rsidRPr="00F02E5E" w:rsidRDefault="00E0208F" w:rsidP="00F02E5E">
            <w:pPr>
              <w:pStyle w:val="Default"/>
              <w:spacing w:line="360" w:lineRule="auto"/>
              <w:jc w:val="center"/>
              <w:rPr>
                <w:color w:val="auto"/>
                <w:szCs w:val="24"/>
              </w:rPr>
            </w:pPr>
            <w:r w:rsidRPr="00F02E5E">
              <w:rPr>
                <w:color w:val="auto"/>
                <w:szCs w:val="24"/>
              </w:rPr>
              <w:t>5 a 8</w:t>
            </w:r>
          </w:p>
        </w:tc>
        <w:tc>
          <w:tcPr>
            <w:tcW w:w="3402" w:type="dxa"/>
            <w:vAlign w:val="center"/>
          </w:tcPr>
          <w:p w14:paraId="31DA2822" w14:textId="77777777" w:rsidR="00E0208F" w:rsidRPr="00F02E5E" w:rsidRDefault="00E0208F" w:rsidP="00F02E5E">
            <w:pPr>
              <w:pStyle w:val="Default"/>
              <w:spacing w:line="360" w:lineRule="auto"/>
              <w:jc w:val="center"/>
              <w:rPr>
                <w:color w:val="auto"/>
                <w:szCs w:val="24"/>
              </w:rPr>
            </w:pPr>
            <w:r w:rsidRPr="00F02E5E">
              <w:rPr>
                <w:color w:val="auto"/>
                <w:szCs w:val="24"/>
              </w:rPr>
              <w:t>9 ou mais</w:t>
            </w:r>
          </w:p>
        </w:tc>
      </w:tr>
      <w:tr w:rsidR="00E0208F" w:rsidRPr="00F02E5E" w14:paraId="0630BE00" w14:textId="77777777" w:rsidTr="00F02E5E">
        <w:trPr>
          <w:trHeight w:val="107"/>
          <w:jc w:val="center"/>
        </w:trPr>
        <w:tc>
          <w:tcPr>
            <w:tcW w:w="959" w:type="dxa"/>
            <w:vAlign w:val="center"/>
          </w:tcPr>
          <w:p w14:paraId="21D00F98" w14:textId="77777777" w:rsidR="00E0208F" w:rsidRPr="00F02E5E" w:rsidRDefault="00E0208F" w:rsidP="00F02E5E">
            <w:pPr>
              <w:autoSpaceDE w:val="0"/>
              <w:autoSpaceDN w:val="0"/>
              <w:adjustRightInd w:val="0"/>
              <w:spacing w:line="360" w:lineRule="auto"/>
              <w:jc w:val="center"/>
              <w:rPr>
                <w:rFonts w:eastAsia="Times New Roman" w:cs="Times New Roman"/>
              </w:rPr>
            </w:pPr>
            <w:r w:rsidRPr="00F02E5E">
              <w:rPr>
                <w:rFonts w:eastAsia="Times New Roman" w:cs="Times New Roman"/>
              </w:rPr>
              <w:t>2</w:t>
            </w:r>
          </w:p>
        </w:tc>
        <w:tc>
          <w:tcPr>
            <w:tcW w:w="2977" w:type="dxa"/>
            <w:vAlign w:val="center"/>
          </w:tcPr>
          <w:p w14:paraId="45F2F869" w14:textId="77777777" w:rsidR="00E0208F" w:rsidRPr="00F02E5E" w:rsidRDefault="00E0208F" w:rsidP="00F02E5E">
            <w:pPr>
              <w:pStyle w:val="Default"/>
              <w:spacing w:line="360" w:lineRule="auto"/>
              <w:jc w:val="center"/>
              <w:rPr>
                <w:color w:val="auto"/>
                <w:szCs w:val="24"/>
              </w:rPr>
            </w:pPr>
            <w:r w:rsidRPr="00F02E5E">
              <w:rPr>
                <w:color w:val="auto"/>
                <w:szCs w:val="24"/>
              </w:rPr>
              <w:t>3 a 5</w:t>
            </w:r>
          </w:p>
        </w:tc>
        <w:tc>
          <w:tcPr>
            <w:tcW w:w="3402" w:type="dxa"/>
            <w:vAlign w:val="center"/>
          </w:tcPr>
          <w:p w14:paraId="1530A4D8" w14:textId="77777777" w:rsidR="00E0208F" w:rsidRPr="00F02E5E" w:rsidRDefault="00E0208F" w:rsidP="00F02E5E">
            <w:pPr>
              <w:pStyle w:val="Default"/>
              <w:spacing w:line="360" w:lineRule="auto"/>
              <w:jc w:val="center"/>
              <w:rPr>
                <w:color w:val="auto"/>
                <w:szCs w:val="24"/>
              </w:rPr>
            </w:pPr>
            <w:r w:rsidRPr="00F02E5E">
              <w:rPr>
                <w:color w:val="auto"/>
                <w:szCs w:val="24"/>
              </w:rPr>
              <w:t>6 ou mais</w:t>
            </w:r>
          </w:p>
        </w:tc>
      </w:tr>
      <w:tr w:rsidR="00E0208F" w:rsidRPr="00F02E5E" w14:paraId="77BE34CA" w14:textId="77777777" w:rsidTr="00F02E5E">
        <w:trPr>
          <w:trHeight w:val="107"/>
          <w:jc w:val="center"/>
        </w:trPr>
        <w:tc>
          <w:tcPr>
            <w:tcW w:w="959" w:type="dxa"/>
            <w:vAlign w:val="center"/>
          </w:tcPr>
          <w:p w14:paraId="16F5BD13" w14:textId="77777777" w:rsidR="00E0208F" w:rsidRPr="00F02E5E" w:rsidRDefault="00E0208F" w:rsidP="00F02E5E">
            <w:pPr>
              <w:autoSpaceDE w:val="0"/>
              <w:autoSpaceDN w:val="0"/>
              <w:adjustRightInd w:val="0"/>
              <w:spacing w:line="360" w:lineRule="auto"/>
              <w:jc w:val="center"/>
              <w:rPr>
                <w:rFonts w:eastAsia="Times New Roman" w:cs="Times New Roman"/>
              </w:rPr>
            </w:pPr>
            <w:r w:rsidRPr="00F02E5E">
              <w:rPr>
                <w:rFonts w:eastAsia="Times New Roman" w:cs="Times New Roman"/>
              </w:rPr>
              <w:t>3</w:t>
            </w:r>
          </w:p>
        </w:tc>
        <w:tc>
          <w:tcPr>
            <w:tcW w:w="2977" w:type="dxa"/>
            <w:vAlign w:val="center"/>
          </w:tcPr>
          <w:p w14:paraId="6C6348C8" w14:textId="77777777" w:rsidR="00E0208F" w:rsidRPr="00F02E5E" w:rsidRDefault="00E0208F" w:rsidP="00F02E5E">
            <w:pPr>
              <w:pStyle w:val="Default"/>
              <w:spacing w:line="360" w:lineRule="auto"/>
              <w:jc w:val="center"/>
              <w:rPr>
                <w:color w:val="auto"/>
                <w:szCs w:val="24"/>
              </w:rPr>
            </w:pPr>
            <w:r w:rsidRPr="00F02E5E">
              <w:rPr>
                <w:color w:val="auto"/>
                <w:szCs w:val="24"/>
              </w:rPr>
              <w:t>2</w:t>
            </w:r>
          </w:p>
        </w:tc>
        <w:tc>
          <w:tcPr>
            <w:tcW w:w="3402" w:type="dxa"/>
            <w:vAlign w:val="center"/>
          </w:tcPr>
          <w:p w14:paraId="37EC1A6A" w14:textId="77777777" w:rsidR="00E0208F" w:rsidRPr="00F02E5E" w:rsidRDefault="00E0208F" w:rsidP="00F02E5E">
            <w:pPr>
              <w:pStyle w:val="Default"/>
              <w:spacing w:line="360" w:lineRule="auto"/>
              <w:jc w:val="center"/>
              <w:rPr>
                <w:color w:val="auto"/>
                <w:szCs w:val="24"/>
              </w:rPr>
            </w:pPr>
            <w:r w:rsidRPr="00F02E5E">
              <w:rPr>
                <w:color w:val="auto"/>
                <w:szCs w:val="24"/>
              </w:rPr>
              <w:t>3 ou mais</w:t>
            </w:r>
          </w:p>
        </w:tc>
      </w:tr>
    </w:tbl>
    <w:p w14:paraId="56FC12E1" w14:textId="77777777" w:rsidR="00E0208F" w:rsidRPr="00C275FA" w:rsidRDefault="00E0208F" w:rsidP="00E0208F">
      <w:pPr>
        <w:pStyle w:val="Default"/>
        <w:spacing w:line="360" w:lineRule="auto"/>
        <w:ind w:firstLine="709"/>
        <w:jc w:val="both"/>
        <w:rPr>
          <w:color w:val="auto"/>
        </w:rPr>
      </w:pPr>
    </w:p>
    <w:p w14:paraId="1F6D385A" w14:textId="77777777" w:rsidR="00E0208F" w:rsidRPr="007563ED"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007563ED">
        <w:rPr>
          <w:b/>
          <w:bCs/>
          <w:color w:val="auto"/>
        </w:rPr>
        <w:lastRenderedPageBreak/>
        <w:t>CRITÉRIOS DE QUALIFICAÇÃO TÉCNICA</w:t>
      </w:r>
    </w:p>
    <w:p w14:paraId="3C179CC7"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documentação relativa à Qualificação Técnica das empresas licitantes consistirá na apresentação de Atestado(s) de Capacidade Técnica, emitidos(s) por entidade da Administração Federal, </w:t>
      </w:r>
      <w:proofErr w:type="gramStart"/>
      <w:r w:rsidRPr="679E79CE">
        <w:rPr>
          <w:color w:val="auto"/>
        </w:rPr>
        <w:t>Estadual</w:t>
      </w:r>
      <w:proofErr w:type="gramEnd"/>
      <w:r w:rsidRPr="679E79CE">
        <w:rPr>
          <w:color w:val="auto"/>
        </w:rPr>
        <w:t xml:space="preserve"> ou Municipal, direta ou indireta e/ou empresa privada, comprovando que a licitante tenha fornecido </w:t>
      </w:r>
      <w:r>
        <w:rPr>
          <w:color w:val="auto"/>
        </w:rPr>
        <w:t>software equivalente ao que trata o objeto deste Termo.</w:t>
      </w:r>
    </w:p>
    <w:p w14:paraId="70E64E17"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O(s) atestado(s) deverá(</w:t>
      </w:r>
      <w:proofErr w:type="spellStart"/>
      <w:r w:rsidRPr="679E79CE">
        <w:rPr>
          <w:color w:val="auto"/>
        </w:rPr>
        <w:t>ão</w:t>
      </w:r>
      <w:proofErr w:type="spellEnd"/>
      <w:r w:rsidRPr="679E79CE">
        <w:rPr>
          <w:color w:val="auto"/>
        </w:rPr>
        <w:t xml:space="preserve">) conter o timbre da pessoa jurídica que o(s) emitiu, com a descrição do nome completo, do cargo, da função e conter a assinatura </w:t>
      </w:r>
      <w:r>
        <w:rPr>
          <w:color w:val="auto"/>
        </w:rPr>
        <w:t xml:space="preserve">eletrônica ou </w:t>
      </w:r>
      <w:r w:rsidRPr="679E79CE">
        <w:rPr>
          <w:color w:val="auto"/>
        </w:rPr>
        <w:t>legível do responsável e, adicionalmente, conter dados sobre contatos de telefone e correio eletrônico do responsável pela emissão do atestado.</w:t>
      </w:r>
    </w:p>
    <w:p w14:paraId="4E4EB35A"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atestado(s) apresentado(s) poderá(</w:t>
      </w:r>
      <w:proofErr w:type="spellStart"/>
      <w:r w:rsidRPr="679E79CE">
        <w:rPr>
          <w:color w:val="auto"/>
        </w:rPr>
        <w:t>ão</w:t>
      </w:r>
      <w:proofErr w:type="spellEnd"/>
      <w:r w:rsidRPr="679E79CE">
        <w:rPr>
          <w:color w:val="auto"/>
        </w:rPr>
        <w:t>) ser objeto de diligência, a critério do CNMP, para a verificação da autenticidade do conteúdo das informações nele(s) contidas.</w:t>
      </w:r>
    </w:p>
    <w:p w14:paraId="3C436C39" w14:textId="77777777" w:rsidR="00E0208F" w:rsidRPr="00C275FA" w:rsidRDefault="00E0208F" w:rsidP="00E0208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Havendo divergência entre o especificado no atestado de capacidade e o apurado em eventual diligência, além da desclassificação fica a licitante sujeita às penalidades cabíveis.</w:t>
      </w:r>
    </w:p>
    <w:p w14:paraId="019B8919" w14:textId="77777777" w:rsidR="00E0208F" w:rsidRPr="00C275FA" w:rsidRDefault="00E0208F" w:rsidP="00E0208F">
      <w:pPr>
        <w:pStyle w:val="Default"/>
        <w:spacing w:line="360" w:lineRule="auto"/>
        <w:ind w:firstLine="709"/>
        <w:jc w:val="both"/>
        <w:rPr>
          <w:color w:val="auto"/>
        </w:rPr>
      </w:pPr>
    </w:p>
    <w:p w14:paraId="46E73503" w14:textId="77777777" w:rsidR="00E0208F" w:rsidRPr="007563ED" w:rsidRDefault="00E0208F" w:rsidP="00E0208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lang w:val="pt-PT"/>
        </w:rPr>
      </w:pPr>
      <w:r w:rsidRPr="007563ED">
        <w:rPr>
          <w:b/>
          <w:bCs/>
          <w:color w:val="auto"/>
        </w:rPr>
        <w:t>DA LEI GERAL DE PROTEÇÃO DE DADOS - LEI Nº 13.709/2018</w:t>
      </w:r>
    </w:p>
    <w:p w14:paraId="2EE97F05" w14:textId="77777777" w:rsidR="00E0208F" w:rsidRPr="00C275FA" w:rsidRDefault="00E0208F" w:rsidP="00E0208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EBABA55" w14:textId="77777777" w:rsidR="00E0208F" w:rsidRPr="00C275FA" w:rsidRDefault="00E0208F" w:rsidP="00E0208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w:t>
      </w:r>
      <w:r w:rsidRPr="679E79CE">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6C8B2EB6" w14:textId="637878F6" w:rsidR="00E0208F" w:rsidRPr="00C275FA" w:rsidRDefault="00E0208F" w:rsidP="00E0208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Contratada fica obrigada a comunicar ao CNMP, em até </w:t>
      </w:r>
      <w:r>
        <w:rPr>
          <w:rFonts w:eastAsia="Times New Roman" w:cs="Times New Roman"/>
          <w:sz w:val="24"/>
          <w:szCs w:val="24"/>
          <w:lang w:val="pt-PT"/>
        </w:rPr>
        <w:t>2 (dois) dias</w:t>
      </w:r>
      <w:r w:rsidR="000649D6">
        <w:rPr>
          <w:rFonts w:eastAsia="Times New Roman" w:cs="Times New Roman"/>
          <w:sz w:val="24"/>
          <w:szCs w:val="24"/>
          <w:lang w:val="pt-PT"/>
        </w:rPr>
        <w:t xml:space="preserve"> </w:t>
      </w:r>
      <w:r w:rsidRPr="679E79CE">
        <w:rPr>
          <w:rFonts w:eastAsia="Times New Roman" w:cs="Times New Roman"/>
          <w:sz w:val="24"/>
          <w:szCs w:val="24"/>
          <w:lang w:val="pt-PT"/>
        </w:rPr>
        <w:t>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28BE22C" w14:textId="77777777" w:rsidR="00E0208F" w:rsidRPr="00C275FA" w:rsidRDefault="00E0208F" w:rsidP="00E0208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CONTRATADA cooperará com a CONTRATANTE no cumprimento das obrigações referentes ao exercício dos direitos dos titulares previstos na LGPD e nas Leis e Regulamentos de Proteção de Dados em vigor e também no atendimento de requisições e </w:t>
      </w:r>
      <w:r w:rsidRPr="679E79CE">
        <w:rPr>
          <w:rFonts w:eastAsia="Times New Roman" w:cs="Times New Roman"/>
          <w:sz w:val="24"/>
          <w:szCs w:val="24"/>
          <w:lang w:val="pt-PT"/>
        </w:rPr>
        <w:lastRenderedPageBreak/>
        <w:t>determinações do Poder Judiciário, Ministério Público, ANPD e Órgãos de controle administrativo em geral;</w:t>
      </w:r>
    </w:p>
    <w:p w14:paraId="070001E4" w14:textId="42B20D50" w:rsidR="00023363" w:rsidRPr="00E0208F" w:rsidRDefault="00E0208F" w:rsidP="00E0208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Eventuais responsabilidades das partes serão apuradas conforme estabelecido neste contrato e também de acordo com o que dispõe a Seção III, Capítulo VI da LGPD.</w:t>
      </w:r>
      <w:r w:rsidRPr="679E79CE">
        <w:rPr>
          <w:rFonts w:eastAsia="Times New Roman" w:cs="Times New Roman"/>
          <w:sz w:val="24"/>
          <w:szCs w:val="24"/>
          <w:lang w:val="pt-PT"/>
        </w:rPr>
        <w:br w:type="page"/>
      </w:r>
    </w:p>
    <w:p w14:paraId="13875D5F" w14:textId="3DBFDD4E"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Nº </w:t>
      </w:r>
      <w:r w:rsidR="005C3F05">
        <w:rPr>
          <w:rFonts w:cs="Times New Roman"/>
          <w:b/>
          <w:sz w:val="24"/>
          <w:szCs w:val="24"/>
          <w:u w:val="single"/>
        </w:rPr>
        <w:t>11</w:t>
      </w:r>
      <w:r w:rsidR="001D56C1">
        <w:rPr>
          <w:rFonts w:cs="Times New Roman"/>
          <w:b/>
          <w:sz w:val="24"/>
          <w:szCs w:val="24"/>
          <w:u w:val="single"/>
        </w:rPr>
        <w:t>/2022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6192F29" w14:textId="77777777" w:rsidR="005C3F05" w:rsidRDefault="008E66B0" w:rsidP="005C3F05">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5C3F05" w:rsidRPr="005C3F05">
        <w:rPr>
          <w:rFonts w:eastAsia="Arial" w:cs="Arial"/>
          <w:b/>
          <w:bCs/>
          <w:color w:val="000000"/>
          <w:u w:val="single"/>
          <w:lang w:bidi="ar-SA"/>
        </w:rPr>
        <w:t>19.00.6160.0003047/2022-42</w:t>
      </w:r>
    </w:p>
    <w:p w14:paraId="370289FB" w14:textId="7F330465" w:rsidR="008E66B0" w:rsidRPr="00041761" w:rsidRDefault="008E66B0" w:rsidP="005C3F05">
      <w:pPr>
        <w:widowControl/>
        <w:suppressAutoHyphens w:val="0"/>
        <w:jc w:val="center"/>
        <w:textAlignment w:val="auto"/>
        <w:rPr>
          <w:rFonts w:cs="Times New Roman"/>
        </w:rPr>
      </w:pPr>
      <w:r w:rsidRPr="00041761">
        <w:rPr>
          <w:rFonts w:cs="Times New Roman"/>
          <w:b/>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2CD32AA6" w14:textId="77777777" w:rsidR="007C3744" w:rsidRPr="00C275FA" w:rsidRDefault="007C3744" w:rsidP="007C3744">
      <w:pPr>
        <w:pStyle w:val="Standard"/>
        <w:rPr>
          <w:rFonts w:eastAsia="Times New Roman" w:cs="Times New Roman"/>
          <w:b/>
          <w:bCs/>
          <w:sz w:val="24"/>
          <w:szCs w:val="24"/>
        </w:rPr>
      </w:pPr>
      <w:r w:rsidRPr="679E79CE">
        <w:rPr>
          <w:rFonts w:eastAsia="Times New Roman" w:cs="Times New Roman"/>
          <w:b/>
          <w:bCs/>
          <w:sz w:val="24"/>
          <w:szCs w:val="24"/>
        </w:rPr>
        <w:t xml:space="preserve">AO CONSELHO NACIONAL </w:t>
      </w:r>
      <w:r>
        <w:rPr>
          <w:rFonts w:eastAsia="Times New Roman" w:cs="Times New Roman"/>
          <w:b/>
          <w:bCs/>
          <w:sz w:val="24"/>
          <w:szCs w:val="24"/>
        </w:rPr>
        <w:t>DO</w:t>
      </w:r>
      <w:r w:rsidRPr="679E79CE">
        <w:rPr>
          <w:rFonts w:eastAsia="Times New Roman" w:cs="Times New Roman"/>
          <w:b/>
          <w:bCs/>
          <w:sz w:val="24"/>
          <w:szCs w:val="24"/>
        </w:rPr>
        <w:t xml:space="preserve"> MINISTÉRIO PÚBLICO</w:t>
      </w:r>
    </w:p>
    <w:p w14:paraId="3C17E750" w14:textId="77777777" w:rsidR="007C3744" w:rsidRPr="00C275FA" w:rsidRDefault="007C3744" w:rsidP="007C3744">
      <w:pPr>
        <w:pStyle w:val="Standard"/>
        <w:rPr>
          <w:rFonts w:eastAsia="Times New Roman" w:cs="Times New Roman"/>
          <w:b/>
          <w:bCs/>
          <w:sz w:val="24"/>
          <w:szCs w:val="24"/>
        </w:rPr>
      </w:pPr>
    </w:p>
    <w:p w14:paraId="7C11CD10" w14:textId="77777777" w:rsidR="007C3744" w:rsidRPr="00C275FA" w:rsidRDefault="007C3744" w:rsidP="007C3744">
      <w:pPr>
        <w:pStyle w:val="Standard"/>
        <w:rPr>
          <w:rFonts w:eastAsia="Times New Roman" w:cs="Times New Roman"/>
          <w:b/>
          <w:bCs/>
          <w:sz w:val="24"/>
          <w:szCs w:val="24"/>
        </w:rPr>
      </w:pPr>
      <w:r w:rsidRPr="679E79CE">
        <w:rPr>
          <w:rFonts w:eastAsia="Times New Roman" w:cs="Times New Roman"/>
          <w:b/>
          <w:bCs/>
          <w:sz w:val="24"/>
          <w:szCs w:val="24"/>
        </w:rPr>
        <w:t>Dados da Empresa</w:t>
      </w:r>
    </w:p>
    <w:p w14:paraId="51F4D952"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Razão Social:</w:t>
      </w:r>
    </w:p>
    <w:p w14:paraId="3941F808"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CNPJ:</w:t>
      </w:r>
    </w:p>
    <w:p w14:paraId="32D50B32"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321B5129" w14:textId="77777777" w:rsidR="007C3744" w:rsidRPr="00C275FA" w:rsidRDefault="007C3744" w:rsidP="007C3744">
      <w:pPr>
        <w:pStyle w:val="Standard"/>
        <w:rPr>
          <w:rFonts w:eastAsia="Times New Roman" w:cs="Times New Roman"/>
          <w:sz w:val="24"/>
          <w:szCs w:val="24"/>
        </w:rPr>
      </w:pPr>
      <w:proofErr w:type="spellStart"/>
      <w:r w:rsidRPr="679E79CE">
        <w:rPr>
          <w:rFonts w:eastAsia="Times New Roman" w:cs="Times New Roman"/>
          <w:sz w:val="24"/>
          <w:szCs w:val="24"/>
        </w:rPr>
        <w:t>Tel</w:t>
      </w:r>
      <w:proofErr w:type="spellEnd"/>
      <w:r w:rsidRPr="679E79CE">
        <w:rPr>
          <w:rFonts w:eastAsia="Times New Roman" w:cs="Times New Roman"/>
          <w:sz w:val="24"/>
          <w:szCs w:val="24"/>
        </w:rPr>
        <w:t>/Fax:</w:t>
      </w:r>
    </w:p>
    <w:p w14:paraId="5D055D1F"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Endereço:</w:t>
      </w:r>
    </w:p>
    <w:p w14:paraId="31D25630"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Nome:</w:t>
      </w:r>
    </w:p>
    <w:p w14:paraId="6D4146CD" w14:textId="77777777" w:rsidR="007C3744" w:rsidRPr="00C275FA" w:rsidRDefault="007C3744" w:rsidP="007C3744">
      <w:pPr>
        <w:pStyle w:val="Standard"/>
        <w:rPr>
          <w:rFonts w:eastAsia="Times New Roman" w:cs="Times New Roman"/>
          <w:sz w:val="24"/>
          <w:szCs w:val="24"/>
        </w:rPr>
      </w:pPr>
      <w:r w:rsidRPr="679E79CE">
        <w:rPr>
          <w:rFonts w:eastAsia="Times New Roman" w:cs="Times New Roman"/>
          <w:sz w:val="24"/>
          <w:szCs w:val="24"/>
        </w:rPr>
        <w:t>Cargo:</w:t>
      </w:r>
    </w:p>
    <w:p w14:paraId="7C461EBB" w14:textId="77777777" w:rsidR="007C3744" w:rsidRDefault="007C3744" w:rsidP="007C3744">
      <w:pPr>
        <w:pStyle w:val="Standard"/>
        <w:rPr>
          <w:rFonts w:eastAsia="Times New Roman" w:cs="Times New Roman"/>
          <w:sz w:val="24"/>
          <w:szCs w:val="24"/>
        </w:rPr>
      </w:pPr>
      <w:r w:rsidRPr="679E79CE">
        <w:rPr>
          <w:rFonts w:eastAsia="Times New Roman" w:cs="Times New Roman"/>
          <w:sz w:val="24"/>
          <w:szCs w:val="24"/>
        </w:rPr>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2915DA4E" w14:textId="77777777" w:rsidR="007C3744" w:rsidRDefault="007C3744" w:rsidP="007C3744">
      <w:pPr>
        <w:pStyle w:val="Standard"/>
        <w:rPr>
          <w:rFonts w:eastAsia="Times New Roman" w:cs="Times New Roman"/>
          <w:sz w:val="24"/>
          <w:szCs w:val="24"/>
        </w:rPr>
      </w:pPr>
    </w:p>
    <w:tbl>
      <w:tblPr>
        <w:tblStyle w:val="Tabelacomgrade"/>
        <w:tblW w:w="4877" w:type="pct"/>
        <w:tblInd w:w="108" w:type="dxa"/>
        <w:tblLayout w:type="fixed"/>
        <w:tblLook w:val="04A0" w:firstRow="1" w:lastRow="0" w:firstColumn="1" w:lastColumn="0" w:noHBand="0" w:noVBand="1"/>
      </w:tblPr>
      <w:tblGrid>
        <w:gridCol w:w="1097"/>
        <w:gridCol w:w="3287"/>
        <w:gridCol w:w="1722"/>
        <w:gridCol w:w="1407"/>
        <w:gridCol w:w="1878"/>
      </w:tblGrid>
      <w:tr w:rsidR="007C3744" w:rsidRPr="00C6167B" w14:paraId="6C1E25CF" w14:textId="77777777" w:rsidTr="00F02E5E">
        <w:tc>
          <w:tcPr>
            <w:tcW w:w="584" w:type="pct"/>
            <w:vAlign w:val="center"/>
          </w:tcPr>
          <w:p w14:paraId="4664AB3E" w14:textId="77777777" w:rsidR="007C3744" w:rsidRPr="00C6167B" w:rsidRDefault="007C3744" w:rsidP="00F02E5E">
            <w:pPr>
              <w:pStyle w:val="Default"/>
              <w:jc w:val="center"/>
              <w:rPr>
                <w:rFonts w:eastAsia="Times New Roman"/>
                <w:color w:val="auto"/>
              </w:rPr>
            </w:pPr>
            <w:r w:rsidRPr="00C6167B">
              <w:rPr>
                <w:rFonts w:eastAsia="Times New Roman"/>
                <w:color w:val="auto"/>
              </w:rPr>
              <w:t>ITEM</w:t>
            </w:r>
          </w:p>
        </w:tc>
        <w:tc>
          <w:tcPr>
            <w:tcW w:w="1750" w:type="pct"/>
            <w:vAlign w:val="center"/>
          </w:tcPr>
          <w:p w14:paraId="1F0A3940" w14:textId="77777777" w:rsidR="007C3744" w:rsidRPr="00C6167B" w:rsidRDefault="007C3744" w:rsidP="00F02E5E">
            <w:pPr>
              <w:pStyle w:val="Default"/>
              <w:jc w:val="center"/>
              <w:rPr>
                <w:rFonts w:eastAsia="Times New Roman"/>
                <w:color w:val="auto"/>
              </w:rPr>
            </w:pPr>
            <w:r w:rsidRPr="00C6167B">
              <w:rPr>
                <w:rFonts w:eastAsia="Times New Roman"/>
                <w:color w:val="auto"/>
              </w:rPr>
              <w:t>DESCRIÇÃO</w:t>
            </w:r>
          </w:p>
        </w:tc>
        <w:tc>
          <w:tcPr>
            <w:tcW w:w="917" w:type="pct"/>
            <w:vAlign w:val="center"/>
          </w:tcPr>
          <w:p w14:paraId="664309EA" w14:textId="77777777" w:rsidR="007C3744" w:rsidRPr="00C6167B" w:rsidRDefault="007C3744" w:rsidP="00F02E5E">
            <w:pPr>
              <w:pStyle w:val="Default"/>
              <w:jc w:val="center"/>
              <w:rPr>
                <w:rFonts w:eastAsia="Times New Roman"/>
                <w:color w:val="auto"/>
              </w:rPr>
            </w:pPr>
            <w:r w:rsidRPr="00C6167B">
              <w:rPr>
                <w:rFonts w:eastAsia="Times New Roman"/>
                <w:color w:val="auto"/>
              </w:rPr>
              <w:t>QUANTIDADE DE LICENÇAS</w:t>
            </w:r>
          </w:p>
        </w:tc>
        <w:tc>
          <w:tcPr>
            <w:tcW w:w="749" w:type="pct"/>
            <w:vAlign w:val="center"/>
          </w:tcPr>
          <w:p w14:paraId="34E042A8" w14:textId="77777777" w:rsidR="007C3744" w:rsidRPr="00C6167B" w:rsidRDefault="007C3744" w:rsidP="00F02E5E">
            <w:pPr>
              <w:pStyle w:val="Default"/>
              <w:jc w:val="center"/>
              <w:rPr>
                <w:rFonts w:eastAsia="Times New Roman"/>
                <w:color w:val="auto"/>
              </w:rPr>
            </w:pPr>
            <w:r w:rsidRPr="00C6167B">
              <w:rPr>
                <w:rFonts w:eastAsia="Times New Roman"/>
                <w:color w:val="auto"/>
              </w:rPr>
              <w:t>VALOR UNITÁRIO DA LICENÇA</w:t>
            </w:r>
          </w:p>
        </w:tc>
        <w:tc>
          <w:tcPr>
            <w:tcW w:w="1000" w:type="pct"/>
            <w:vAlign w:val="center"/>
          </w:tcPr>
          <w:p w14:paraId="1A69E90C" w14:textId="77777777" w:rsidR="007C3744" w:rsidRPr="00C6167B" w:rsidRDefault="007C3744" w:rsidP="00F02E5E">
            <w:pPr>
              <w:pStyle w:val="Default"/>
              <w:jc w:val="center"/>
              <w:rPr>
                <w:rFonts w:eastAsia="Times New Roman"/>
                <w:b/>
                <w:bCs/>
                <w:color w:val="auto"/>
              </w:rPr>
            </w:pPr>
            <w:r w:rsidRPr="00C6167B">
              <w:rPr>
                <w:rFonts w:eastAsia="Times New Roman"/>
                <w:b/>
                <w:bCs/>
                <w:color w:val="auto"/>
              </w:rPr>
              <w:t>VALOR TOTAL DO ITEM</w:t>
            </w:r>
          </w:p>
        </w:tc>
      </w:tr>
      <w:tr w:rsidR="007C3744" w:rsidRPr="00C6167B" w14:paraId="4EF947DE" w14:textId="77777777" w:rsidTr="00F02E5E">
        <w:trPr>
          <w:trHeight w:val="567"/>
        </w:trPr>
        <w:tc>
          <w:tcPr>
            <w:tcW w:w="584" w:type="pct"/>
            <w:vAlign w:val="center"/>
          </w:tcPr>
          <w:p w14:paraId="5B9D55BB"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color w:val="auto"/>
              </w:rPr>
              <w:t>1</w:t>
            </w:r>
          </w:p>
        </w:tc>
        <w:tc>
          <w:tcPr>
            <w:tcW w:w="1750" w:type="pct"/>
            <w:vAlign w:val="center"/>
          </w:tcPr>
          <w:p w14:paraId="3DEED78D" w14:textId="77777777" w:rsidR="007C3744" w:rsidRPr="00C6167B" w:rsidRDefault="007C3744" w:rsidP="00F02E5E">
            <w:pPr>
              <w:pStyle w:val="Default"/>
              <w:spacing w:line="360" w:lineRule="auto"/>
              <w:rPr>
                <w:rFonts w:eastAsia="Times New Roman"/>
                <w:color w:val="auto"/>
              </w:rPr>
            </w:pPr>
            <w:r w:rsidRPr="00C6167B">
              <w:rPr>
                <w:rFonts w:eastAsia="Times New Roman"/>
                <w:color w:val="auto"/>
              </w:rPr>
              <w:t xml:space="preserve">Contratação de serviços de renovação da subscrição, com suporte técnico (manutenção), por 36 (trinta e seis) meses, de 4 (quatro) licenças do pacote de Software </w:t>
            </w:r>
            <w:proofErr w:type="spellStart"/>
            <w:r w:rsidRPr="00C6167B">
              <w:rPr>
                <w:rFonts w:eastAsia="Times New Roman"/>
                <w:color w:val="auto"/>
              </w:rPr>
              <w:t>SuiteAutoDeskArchitectureEnginerringandConstructionCollection</w:t>
            </w:r>
            <w:proofErr w:type="spellEnd"/>
            <w:r w:rsidRPr="00C6167B">
              <w:rPr>
                <w:rFonts w:eastAsia="Times New Roman"/>
                <w:color w:val="auto"/>
              </w:rPr>
              <w:t xml:space="preserve"> – AEC COLLECTION, já </w:t>
            </w:r>
            <w:r w:rsidRPr="00C6167B">
              <w:rPr>
                <w:rFonts w:eastAsia="Times New Roman"/>
                <w:color w:val="auto"/>
              </w:rPr>
              <w:lastRenderedPageBreak/>
              <w:t>em uso pelo Conselho Nacional do Ministério Público - CNMP, conforme condições comerciais relacionadas ao Contrato AUTODESK Número nº 110002804049.</w:t>
            </w:r>
          </w:p>
          <w:p w14:paraId="0ED0164A" w14:textId="77777777" w:rsidR="007C3744" w:rsidRPr="00C6167B" w:rsidRDefault="007C3744" w:rsidP="00F02E5E">
            <w:pPr>
              <w:pStyle w:val="Default"/>
              <w:spacing w:line="360" w:lineRule="auto"/>
              <w:rPr>
                <w:rFonts w:eastAsia="Times New Roman"/>
                <w:color w:val="auto"/>
              </w:rPr>
            </w:pPr>
          </w:p>
        </w:tc>
        <w:tc>
          <w:tcPr>
            <w:tcW w:w="917" w:type="pct"/>
            <w:vAlign w:val="center"/>
          </w:tcPr>
          <w:p w14:paraId="5FF3D518"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color w:val="auto"/>
              </w:rPr>
              <w:lastRenderedPageBreak/>
              <w:t>4</w:t>
            </w:r>
          </w:p>
        </w:tc>
        <w:tc>
          <w:tcPr>
            <w:tcW w:w="749" w:type="pct"/>
            <w:vAlign w:val="center"/>
          </w:tcPr>
          <w:p w14:paraId="2842ED1C"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b/>
                <w:bCs/>
                <w:color w:val="auto"/>
              </w:rPr>
              <w:t>R$ _____</w:t>
            </w:r>
          </w:p>
        </w:tc>
        <w:tc>
          <w:tcPr>
            <w:tcW w:w="1000" w:type="pct"/>
            <w:vAlign w:val="center"/>
          </w:tcPr>
          <w:p w14:paraId="2A8F1A86" w14:textId="77777777" w:rsidR="007C3744" w:rsidRPr="00C6167B" w:rsidRDefault="007C3744" w:rsidP="00F02E5E">
            <w:pPr>
              <w:pStyle w:val="Default"/>
              <w:spacing w:line="360" w:lineRule="auto"/>
              <w:jc w:val="center"/>
              <w:rPr>
                <w:rFonts w:eastAsia="Times New Roman"/>
                <w:b/>
                <w:bCs/>
                <w:color w:val="auto"/>
              </w:rPr>
            </w:pPr>
            <w:r w:rsidRPr="00C6167B">
              <w:rPr>
                <w:rFonts w:eastAsia="Times New Roman"/>
                <w:b/>
                <w:bCs/>
                <w:color w:val="auto"/>
              </w:rPr>
              <w:t>R$ _____</w:t>
            </w:r>
          </w:p>
        </w:tc>
      </w:tr>
      <w:tr w:rsidR="007C3744" w:rsidRPr="00C6167B" w14:paraId="7407926A" w14:textId="77777777" w:rsidTr="00F02E5E">
        <w:trPr>
          <w:trHeight w:val="567"/>
        </w:trPr>
        <w:tc>
          <w:tcPr>
            <w:tcW w:w="584" w:type="pct"/>
            <w:vAlign w:val="center"/>
          </w:tcPr>
          <w:p w14:paraId="4C46EA89"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color w:val="auto"/>
              </w:rPr>
              <w:t>2</w:t>
            </w:r>
          </w:p>
        </w:tc>
        <w:tc>
          <w:tcPr>
            <w:tcW w:w="1750" w:type="pct"/>
            <w:vAlign w:val="center"/>
          </w:tcPr>
          <w:p w14:paraId="57A07045" w14:textId="77777777" w:rsidR="007C3744" w:rsidRPr="00C6167B" w:rsidRDefault="007C3744" w:rsidP="00F02E5E">
            <w:pPr>
              <w:pStyle w:val="Default"/>
              <w:spacing w:line="360" w:lineRule="auto"/>
              <w:rPr>
                <w:rFonts w:eastAsia="Times New Roman"/>
                <w:color w:val="auto"/>
              </w:rPr>
            </w:pPr>
            <w:r w:rsidRPr="00C6167B">
              <w:rPr>
                <w:rFonts w:eastAsia="Times New Roman"/>
                <w:color w:val="auto"/>
              </w:rPr>
              <w:t xml:space="preserve">Contratação de serviços de subscrição de 02 (duas) novas licenças, com suporte técnico (manutenção), por 36 (trinta e seis) meses, do pacote de Software </w:t>
            </w:r>
            <w:proofErr w:type="spellStart"/>
            <w:r w:rsidRPr="00C6167B">
              <w:rPr>
                <w:rFonts w:eastAsia="Times New Roman"/>
                <w:color w:val="auto"/>
              </w:rPr>
              <w:t>SuiteAutoDeskArchitectureEnginerringandConstructionCollection</w:t>
            </w:r>
            <w:proofErr w:type="spellEnd"/>
            <w:r w:rsidRPr="00C6167B">
              <w:rPr>
                <w:rFonts w:eastAsia="Times New Roman"/>
                <w:color w:val="auto"/>
              </w:rPr>
              <w:t xml:space="preserve"> – AEC COLLECTION, para uso, em adição às licenças já existentes, pelo Conselho Nacional do Ministério Público - CNMP</w:t>
            </w:r>
          </w:p>
        </w:tc>
        <w:tc>
          <w:tcPr>
            <w:tcW w:w="917" w:type="pct"/>
            <w:vAlign w:val="center"/>
          </w:tcPr>
          <w:p w14:paraId="40FFF37D"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color w:val="auto"/>
              </w:rPr>
              <w:t>2</w:t>
            </w:r>
          </w:p>
        </w:tc>
        <w:tc>
          <w:tcPr>
            <w:tcW w:w="749" w:type="pct"/>
            <w:vAlign w:val="center"/>
          </w:tcPr>
          <w:p w14:paraId="362CD5E2" w14:textId="77777777" w:rsidR="007C3744" w:rsidRPr="00C6167B" w:rsidRDefault="007C3744" w:rsidP="00F02E5E">
            <w:pPr>
              <w:pStyle w:val="Default"/>
              <w:spacing w:line="360" w:lineRule="auto"/>
              <w:jc w:val="center"/>
              <w:rPr>
                <w:rFonts w:eastAsia="Times New Roman"/>
                <w:color w:val="auto"/>
              </w:rPr>
            </w:pPr>
            <w:r w:rsidRPr="00C6167B">
              <w:rPr>
                <w:rFonts w:eastAsia="Times New Roman"/>
                <w:b/>
                <w:bCs/>
                <w:color w:val="auto"/>
              </w:rPr>
              <w:t>R$ _____</w:t>
            </w:r>
          </w:p>
        </w:tc>
        <w:tc>
          <w:tcPr>
            <w:tcW w:w="1000" w:type="pct"/>
            <w:vAlign w:val="center"/>
          </w:tcPr>
          <w:p w14:paraId="7115FFE9" w14:textId="77777777" w:rsidR="007C3744" w:rsidRPr="00C6167B" w:rsidRDefault="007C3744" w:rsidP="00F02E5E">
            <w:pPr>
              <w:pStyle w:val="Default"/>
              <w:spacing w:line="360" w:lineRule="auto"/>
              <w:jc w:val="center"/>
              <w:rPr>
                <w:rFonts w:eastAsia="Times New Roman"/>
                <w:b/>
                <w:bCs/>
                <w:color w:val="auto"/>
              </w:rPr>
            </w:pPr>
            <w:r w:rsidRPr="00C6167B">
              <w:rPr>
                <w:rFonts w:eastAsia="Times New Roman"/>
                <w:b/>
                <w:bCs/>
                <w:color w:val="auto"/>
              </w:rPr>
              <w:t>R$ _____</w:t>
            </w:r>
          </w:p>
        </w:tc>
      </w:tr>
    </w:tbl>
    <w:p w14:paraId="6188E79D" w14:textId="77777777" w:rsidR="007C3744" w:rsidRPr="00C6167B" w:rsidRDefault="007C3744" w:rsidP="007C3744">
      <w:pPr>
        <w:pStyle w:val="Standard"/>
        <w:rPr>
          <w:rFonts w:eastAsia="Times New Roman" w:cs="Times New Roman"/>
          <w:sz w:val="24"/>
          <w:szCs w:val="24"/>
        </w:rPr>
      </w:pPr>
    </w:p>
    <w:p w14:paraId="60318514" w14:textId="77777777" w:rsidR="007C3744" w:rsidRPr="00C6167B" w:rsidRDefault="007C3744" w:rsidP="007C3744">
      <w:pPr>
        <w:pStyle w:val="Standard"/>
        <w:jc w:val="both"/>
        <w:rPr>
          <w:rFonts w:eastAsia="Times New Roman" w:cs="Times New Roman"/>
          <w:sz w:val="24"/>
          <w:szCs w:val="24"/>
        </w:rPr>
      </w:pPr>
      <w:r w:rsidRPr="00C6167B">
        <w:rPr>
          <w:rFonts w:eastAsia="Times New Roman" w:cs="Times New Roman"/>
          <w:sz w:val="24"/>
          <w:szCs w:val="24"/>
        </w:rPr>
        <w:t xml:space="preserve">Obs. 1 - </w:t>
      </w:r>
      <w:bookmarkStart w:id="2" w:name="_Hlk102138644"/>
      <w:r w:rsidRPr="00C6167B">
        <w:rPr>
          <w:rFonts w:eastAsia="Times New Roman" w:cs="Times New Roman"/>
          <w:sz w:val="24"/>
          <w:szCs w:val="24"/>
        </w:rPr>
        <w:t xml:space="preserve">Nos preços da proposta, sempre em moeda nacional, deverão estar inclusas todas as despesas e custos diretos e indiretos, tais como impostos, taxas, fretes, impostos, garantia e serviços de instalação, </w:t>
      </w:r>
      <w:proofErr w:type="spellStart"/>
      <w:proofErr w:type="gramStart"/>
      <w:r w:rsidRPr="00C6167B">
        <w:rPr>
          <w:rFonts w:eastAsia="Times New Roman" w:cs="Times New Roman"/>
          <w:sz w:val="24"/>
          <w:szCs w:val="24"/>
        </w:rPr>
        <w:t>testes,salários</w:t>
      </w:r>
      <w:proofErr w:type="spellEnd"/>
      <w:proofErr w:type="gramEnd"/>
      <w:r w:rsidRPr="00C6167B">
        <w:rPr>
          <w:rFonts w:eastAsia="Times New Roman" w:cs="Times New Roman"/>
          <w:sz w:val="24"/>
          <w:szCs w:val="24"/>
        </w:rPr>
        <w:t>, encargos sociais, fiscais e comerciais, e outras despesas incidentes que possam influir direta ou indiretamente nos custos de execução dos serviços, deduzidos descontos eventualmente concedidos</w:t>
      </w:r>
      <w:bookmarkEnd w:id="2"/>
      <w:r w:rsidRPr="00C6167B">
        <w:rPr>
          <w:rFonts w:eastAsia="Times New Roman" w:cs="Times New Roman"/>
          <w:sz w:val="24"/>
          <w:szCs w:val="24"/>
        </w:rPr>
        <w:t>.</w:t>
      </w:r>
    </w:p>
    <w:p w14:paraId="66CB2741" w14:textId="77777777" w:rsidR="007C3744" w:rsidRPr="00C6167B" w:rsidRDefault="007C3744" w:rsidP="007C3744">
      <w:pPr>
        <w:pStyle w:val="Standard"/>
        <w:jc w:val="both"/>
        <w:rPr>
          <w:rFonts w:eastAsia="Times New Roman" w:cs="Times New Roman"/>
          <w:sz w:val="24"/>
          <w:szCs w:val="24"/>
        </w:rPr>
      </w:pPr>
    </w:p>
    <w:p w14:paraId="1AADE466" w14:textId="77777777" w:rsidR="007C3744" w:rsidRPr="00C6167B" w:rsidRDefault="007C3744" w:rsidP="007C3744">
      <w:pPr>
        <w:pStyle w:val="Standard"/>
        <w:jc w:val="both"/>
        <w:rPr>
          <w:rFonts w:cs="Times New Roman"/>
          <w:sz w:val="24"/>
          <w:szCs w:val="24"/>
        </w:rPr>
      </w:pPr>
      <w:r w:rsidRPr="00C6167B">
        <w:rPr>
          <w:rFonts w:eastAsia="Times New Roman" w:cs="Times New Roman"/>
          <w:sz w:val="24"/>
          <w:szCs w:val="24"/>
        </w:rPr>
        <w:t>Obs. 2 - Declaramos de que a empresa possui todos os requisitos exigidos no edital e no termo de re</w:t>
      </w:r>
      <w:r w:rsidRPr="00C6167B">
        <w:rPr>
          <w:rFonts w:cs="Times New Roman"/>
          <w:sz w:val="24"/>
          <w:szCs w:val="24"/>
        </w:rPr>
        <w:t>ferência para o cumprimento do objeto contratual.</w:t>
      </w:r>
    </w:p>
    <w:p w14:paraId="1C1FD33B" w14:textId="77777777" w:rsidR="007C3744" w:rsidRPr="00C6167B" w:rsidRDefault="007C3744" w:rsidP="007C3744">
      <w:pPr>
        <w:pStyle w:val="Standard"/>
        <w:jc w:val="both"/>
        <w:rPr>
          <w:rFonts w:cs="Times New Roman"/>
          <w:sz w:val="24"/>
          <w:szCs w:val="24"/>
        </w:rPr>
      </w:pPr>
    </w:p>
    <w:p w14:paraId="39544EE5" w14:textId="77777777" w:rsidR="007071BB" w:rsidRDefault="007071BB" w:rsidP="007C3744">
      <w:pPr>
        <w:pStyle w:val="Standard"/>
        <w:jc w:val="center"/>
        <w:rPr>
          <w:rFonts w:cs="Times New Roman"/>
          <w:sz w:val="24"/>
          <w:szCs w:val="24"/>
        </w:rPr>
      </w:pPr>
    </w:p>
    <w:p w14:paraId="36C54B9E" w14:textId="1FC73BF8" w:rsidR="007C3744" w:rsidRPr="00C6167B" w:rsidRDefault="007C3744" w:rsidP="007C3744">
      <w:pPr>
        <w:pStyle w:val="Standard"/>
        <w:jc w:val="center"/>
        <w:rPr>
          <w:rFonts w:cs="Times New Roman"/>
          <w:sz w:val="24"/>
          <w:szCs w:val="24"/>
        </w:rPr>
      </w:pPr>
      <w:r w:rsidRPr="00C6167B">
        <w:rPr>
          <w:rFonts w:cs="Times New Roman"/>
          <w:sz w:val="24"/>
          <w:szCs w:val="24"/>
        </w:rPr>
        <w:t>DATA: ____/____/2022</w:t>
      </w:r>
    </w:p>
    <w:p w14:paraId="49F2CAF5" w14:textId="77777777" w:rsidR="007C3744" w:rsidRPr="00C6167B" w:rsidRDefault="007C3744" w:rsidP="007C3744">
      <w:pPr>
        <w:pStyle w:val="Standard"/>
        <w:jc w:val="center"/>
        <w:rPr>
          <w:rFonts w:cs="Times New Roman"/>
          <w:sz w:val="24"/>
          <w:szCs w:val="24"/>
        </w:rPr>
      </w:pPr>
    </w:p>
    <w:p w14:paraId="0260FBB0" w14:textId="77777777" w:rsidR="007C3744" w:rsidRPr="00C6167B" w:rsidRDefault="007C3744" w:rsidP="007C3744">
      <w:pPr>
        <w:pStyle w:val="Standard"/>
        <w:jc w:val="center"/>
        <w:rPr>
          <w:rFonts w:cs="Times New Roman"/>
          <w:sz w:val="24"/>
          <w:szCs w:val="24"/>
        </w:rPr>
      </w:pPr>
      <w:r w:rsidRPr="00C6167B">
        <w:rPr>
          <w:rFonts w:cs="Times New Roman"/>
          <w:sz w:val="24"/>
          <w:szCs w:val="24"/>
        </w:rPr>
        <w:t>Local e data</w:t>
      </w:r>
    </w:p>
    <w:p w14:paraId="5DA44AE1" w14:textId="77777777" w:rsidR="007C3744" w:rsidRPr="00C6167B" w:rsidRDefault="007C3744" w:rsidP="007C3744">
      <w:pPr>
        <w:pStyle w:val="Standard"/>
        <w:jc w:val="center"/>
        <w:rPr>
          <w:rFonts w:cs="Times New Roman"/>
          <w:sz w:val="24"/>
          <w:szCs w:val="24"/>
        </w:rPr>
      </w:pPr>
    </w:p>
    <w:p w14:paraId="0C38CD50" w14:textId="2C9FC23B"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C6167B">
        <w:rPr>
          <w:rFonts w:cs="Times New Roman"/>
          <w:b/>
          <w:sz w:val="24"/>
          <w:szCs w:val="24"/>
          <w:u w:val="single"/>
        </w:rPr>
        <w:t>11</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3A8F48AF"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C6167B" w:rsidRPr="00C6167B">
        <w:rPr>
          <w:rFonts w:cs="Times New Roman"/>
          <w:b/>
          <w:sz w:val="24"/>
          <w:szCs w:val="24"/>
          <w:u w:val="single"/>
        </w:rPr>
        <w:t>19.00.6160.0003047/2022-42</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3F6F3E58"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F02E5E">
        <w:rPr>
          <w:rFonts w:cs="Times New Roman"/>
          <w:b/>
          <w:sz w:val="24"/>
          <w:szCs w:val="24"/>
          <w:u w:val="single"/>
        </w:rPr>
        <w:t>11</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2D42342D" w:rsidR="006163E8" w:rsidRPr="00041761" w:rsidRDefault="006163E8">
      <w:pPr>
        <w:pStyle w:val="Standard"/>
        <w:spacing w:line="360" w:lineRule="auto"/>
        <w:jc w:val="center"/>
        <w:rPr>
          <w:rFonts w:cs="Times New Roman"/>
          <w:b/>
          <w:sz w:val="24"/>
          <w:szCs w:val="24"/>
          <w:u w:val="single"/>
        </w:rPr>
      </w:pPr>
      <w:r w:rsidRPr="00F02E5E">
        <w:rPr>
          <w:rFonts w:cs="Times New Roman"/>
          <w:b/>
          <w:sz w:val="24"/>
          <w:szCs w:val="24"/>
          <w:u w:val="single"/>
        </w:rPr>
        <w:t xml:space="preserve">SEI </w:t>
      </w:r>
      <w:r w:rsidR="00F02E5E" w:rsidRPr="00F02E5E">
        <w:rPr>
          <w:rFonts w:cs="Times New Roman"/>
          <w:b/>
          <w:sz w:val="24"/>
          <w:szCs w:val="24"/>
          <w:u w:val="single"/>
        </w:rPr>
        <w:t>19.00.6160.0003047/2022-42</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5C3F05">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2353A4F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C3F05">
        <w:rPr>
          <w:rFonts w:cs="Times New Roman"/>
          <w:sz w:val="24"/>
          <w:szCs w:val="24"/>
        </w:rPr>
        <w:t>[XXX</w:t>
      </w:r>
      <w:proofErr w:type="gramStart"/>
      <w:r w:rsidR="005C3F05">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4B36984"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C3F05">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65AE3FC0"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sidR="0008337D">
        <w:rPr>
          <w:rFonts w:cs="Times New Roman"/>
          <w:sz w:val="24"/>
          <w:szCs w:val="24"/>
        </w:rPr>
        <w:t xml:space="preserve"> </w:t>
      </w:r>
      <w:r w:rsidRPr="00041761">
        <w:rPr>
          <w:rFonts w:cs="Times New Roman"/>
          <w:sz w:val="24"/>
          <w:szCs w:val="24"/>
        </w:rPr>
        <w:t xml:space="preserve">preço </w:t>
      </w:r>
      <w:r w:rsidR="004D4BEB">
        <w:rPr>
          <w:rFonts w:cs="Times New Roman"/>
          <w:sz w:val="24"/>
          <w:szCs w:val="24"/>
        </w:rPr>
        <w:t>global</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lastRenderedPageBreak/>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240B5966" w14:textId="2BCAB33F" w:rsidR="003417E8" w:rsidRPr="00041761" w:rsidRDefault="003417E8" w:rsidP="0025607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Efetuar, com pontualidade, os pagamentos à CONTRATADA, após o cumprimento das formalidades legais;</w:t>
      </w:r>
    </w:p>
    <w:p w14:paraId="2F321B52" w14:textId="547D15E8"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6A3FCF20"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16C033D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0524F4AC" w:rsidR="00837969" w:rsidRPr="00041761" w:rsidRDefault="00256078"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1431CBE"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26B266A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2E490F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33F789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7FF614B6"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DDB6A1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402F50FD"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A47ED7">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3DDC567E"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1066EAAE"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1B893984" w:rsidR="00924101" w:rsidRPr="005C3F05"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5C3F05" w:rsidRPr="005C3F05">
        <w:rPr>
          <w:rFonts w:eastAsia="Times New Roman"/>
          <w:sz w:val="24"/>
          <w:szCs w:val="24"/>
        </w:rPr>
        <w:t>O contrato terá vigência por 36 (</w:t>
      </w:r>
      <w:r w:rsidR="0061246E">
        <w:rPr>
          <w:rFonts w:eastAsia="Times New Roman"/>
          <w:sz w:val="24"/>
          <w:szCs w:val="24"/>
        </w:rPr>
        <w:t>trinta e seis</w:t>
      </w:r>
      <w:r w:rsidR="005C3F05" w:rsidRPr="005C3F05">
        <w:rPr>
          <w:rFonts w:eastAsia="Times New Roman"/>
          <w:sz w:val="24"/>
          <w:szCs w:val="24"/>
        </w:rPr>
        <w:t>) meses, contados a partir da data d</w:t>
      </w:r>
      <w:r w:rsidR="00133B10">
        <w:rPr>
          <w:rFonts w:eastAsia="Times New Roman"/>
          <w:sz w:val="24"/>
          <w:szCs w:val="24"/>
        </w:rPr>
        <w:t>a assinatura</w:t>
      </w:r>
      <w:r w:rsidR="005C3F05" w:rsidRPr="005C3F05">
        <w:rPr>
          <w:rFonts w:eastAsia="Times New Roman"/>
          <w:sz w:val="24"/>
          <w:szCs w:val="24"/>
        </w:rPr>
        <w:t>, não podendo ser prorrogado</w:t>
      </w:r>
      <w:r w:rsidR="005C3F05">
        <w:rPr>
          <w:rFonts w:eastAsia="Times New Roman"/>
          <w:sz w:val="24"/>
          <w:szCs w:val="24"/>
        </w:rPr>
        <w:t>.</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Style w:val="Tabelacomgrade"/>
        <w:tblW w:w="4877" w:type="pct"/>
        <w:tblInd w:w="108" w:type="dxa"/>
        <w:tblLayout w:type="fixed"/>
        <w:tblLook w:val="04A0" w:firstRow="1" w:lastRow="0" w:firstColumn="1" w:lastColumn="0" w:noHBand="0" w:noVBand="1"/>
      </w:tblPr>
      <w:tblGrid>
        <w:gridCol w:w="1097"/>
        <w:gridCol w:w="3287"/>
        <w:gridCol w:w="1722"/>
        <w:gridCol w:w="1407"/>
        <w:gridCol w:w="1878"/>
      </w:tblGrid>
      <w:tr w:rsidR="00C6167B" w:rsidRPr="00B70C63" w14:paraId="65822EEB" w14:textId="77777777" w:rsidTr="00F02E5E">
        <w:tc>
          <w:tcPr>
            <w:tcW w:w="584" w:type="pct"/>
            <w:vAlign w:val="center"/>
          </w:tcPr>
          <w:p w14:paraId="51BDB57A" w14:textId="77777777" w:rsidR="00C6167B" w:rsidRPr="00B70C63" w:rsidRDefault="00C6167B" w:rsidP="00F02E5E">
            <w:pPr>
              <w:pStyle w:val="Default"/>
              <w:jc w:val="center"/>
              <w:rPr>
                <w:rFonts w:eastAsia="Times New Roman"/>
                <w:color w:val="auto"/>
              </w:rPr>
            </w:pPr>
            <w:r w:rsidRPr="00B70C63">
              <w:rPr>
                <w:rFonts w:eastAsia="Times New Roman"/>
                <w:color w:val="auto"/>
              </w:rPr>
              <w:t>ITEM</w:t>
            </w:r>
          </w:p>
        </w:tc>
        <w:tc>
          <w:tcPr>
            <w:tcW w:w="1750" w:type="pct"/>
            <w:vAlign w:val="center"/>
          </w:tcPr>
          <w:p w14:paraId="75E7F2F7" w14:textId="77777777" w:rsidR="00C6167B" w:rsidRPr="00B70C63" w:rsidRDefault="00C6167B" w:rsidP="00F02E5E">
            <w:pPr>
              <w:pStyle w:val="Default"/>
              <w:jc w:val="center"/>
              <w:rPr>
                <w:rFonts w:eastAsia="Times New Roman"/>
                <w:color w:val="auto"/>
              </w:rPr>
            </w:pPr>
            <w:r w:rsidRPr="00B70C63">
              <w:rPr>
                <w:rFonts w:eastAsia="Times New Roman"/>
                <w:color w:val="auto"/>
              </w:rPr>
              <w:t>DESCRIÇÃO</w:t>
            </w:r>
          </w:p>
        </w:tc>
        <w:tc>
          <w:tcPr>
            <w:tcW w:w="917" w:type="pct"/>
            <w:vAlign w:val="center"/>
          </w:tcPr>
          <w:p w14:paraId="5E60F247" w14:textId="77777777" w:rsidR="00C6167B" w:rsidRPr="00B70C63" w:rsidRDefault="00C6167B" w:rsidP="00F02E5E">
            <w:pPr>
              <w:pStyle w:val="Default"/>
              <w:jc w:val="center"/>
              <w:rPr>
                <w:rFonts w:eastAsia="Times New Roman"/>
                <w:color w:val="auto"/>
              </w:rPr>
            </w:pPr>
            <w:r w:rsidRPr="00B70C63">
              <w:rPr>
                <w:rFonts w:eastAsia="Times New Roman"/>
                <w:color w:val="auto"/>
              </w:rPr>
              <w:t>QUANTIDADE DE LICENÇAS</w:t>
            </w:r>
          </w:p>
        </w:tc>
        <w:tc>
          <w:tcPr>
            <w:tcW w:w="749" w:type="pct"/>
            <w:vAlign w:val="center"/>
          </w:tcPr>
          <w:p w14:paraId="483B7412" w14:textId="77777777" w:rsidR="00C6167B" w:rsidRPr="00B70C63" w:rsidRDefault="00C6167B" w:rsidP="00F02E5E">
            <w:pPr>
              <w:pStyle w:val="Default"/>
              <w:jc w:val="center"/>
              <w:rPr>
                <w:rFonts w:eastAsia="Times New Roman"/>
                <w:color w:val="auto"/>
              </w:rPr>
            </w:pPr>
            <w:r w:rsidRPr="00B70C63">
              <w:rPr>
                <w:rFonts w:eastAsia="Times New Roman"/>
                <w:color w:val="auto"/>
              </w:rPr>
              <w:t>VALOR UNITÁRIO DA LICENÇA</w:t>
            </w:r>
          </w:p>
        </w:tc>
        <w:tc>
          <w:tcPr>
            <w:tcW w:w="1000" w:type="pct"/>
            <w:vAlign w:val="center"/>
          </w:tcPr>
          <w:p w14:paraId="2BE0AE0F" w14:textId="77777777" w:rsidR="00C6167B" w:rsidRPr="00B70C63" w:rsidRDefault="00C6167B" w:rsidP="00F02E5E">
            <w:pPr>
              <w:pStyle w:val="Default"/>
              <w:jc w:val="center"/>
              <w:rPr>
                <w:rFonts w:eastAsia="Times New Roman"/>
                <w:b/>
                <w:bCs/>
                <w:color w:val="auto"/>
              </w:rPr>
            </w:pPr>
            <w:r w:rsidRPr="00B70C63">
              <w:rPr>
                <w:rFonts w:eastAsia="Times New Roman"/>
                <w:b/>
                <w:bCs/>
                <w:color w:val="auto"/>
              </w:rPr>
              <w:t>VALOR TOTAL DO ITEM</w:t>
            </w:r>
          </w:p>
        </w:tc>
      </w:tr>
      <w:tr w:rsidR="00C6167B" w:rsidRPr="00B70C63" w14:paraId="38A4B5B2" w14:textId="77777777" w:rsidTr="00F02E5E">
        <w:trPr>
          <w:trHeight w:val="567"/>
        </w:trPr>
        <w:tc>
          <w:tcPr>
            <w:tcW w:w="584" w:type="pct"/>
            <w:vAlign w:val="center"/>
          </w:tcPr>
          <w:p w14:paraId="4E4ED36C" w14:textId="77777777" w:rsidR="00C6167B" w:rsidRPr="00B70C63" w:rsidRDefault="00C6167B" w:rsidP="00F02E5E">
            <w:pPr>
              <w:pStyle w:val="Default"/>
              <w:spacing w:line="360" w:lineRule="auto"/>
              <w:jc w:val="center"/>
              <w:rPr>
                <w:rFonts w:eastAsia="Times New Roman"/>
                <w:color w:val="auto"/>
              </w:rPr>
            </w:pPr>
            <w:r w:rsidRPr="00B70C63">
              <w:rPr>
                <w:rFonts w:eastAsia="Times New Roman"/>
                <w:color w:val="auto"/>
              </w:rPr>
              <w:t>1</w:t>
            </w:r>
          </w:p>
        </w:tc>
        <w:tc>
          <w:tcPr>
            <w:tcW w:w="1750" w:type="pct"/>
            <w:vAlign w:val="center"/>
          </w:tcPr>
          <w:p w14:paraId="4111BF36" w14:textId="77777777" w:rsidR="00C6167B" w:rsidRPr="00B70C63" w:rsidRDefault="00C6167B" w:rsidP="00F02E5E">
            <w:pPr>
              <w:pStyle w:val="Default"/>
              <w:spacing w:line="360" w:lineRule="auto"/>
              <w:rPr>
                <w:rFonts w:eastAsia="Times New Roman"/>
                <w:color w:val="auto"/>
              </w:rPr>
            </w:pPr>
            <w:r w:rsidRPr="00B70C63">
              <w:rPr>
                <w:rFonts w:eastAsia="Times New Roman"/>
                <w:color w:val="auto"/>
              </w:rPr>
              <w:t xml:space="preserve">Contratação de serviços de renovação da subscrição, com suporte técnico (manutenção), por 36 (trinta e seis) meses, de 4 (quatro) licenças do pacote de Software </w:t>
            </w:r>
            <w:proofErr w:type="spellStart"/>
            <w:r w:rsidRPr="00B70C63">
              <w:rPr>
                <w:rFonts w:eastAsia="Times New Roman"/>
                <w:color w:val="auto"/>
              </w:rPr>
              <w:t>SuiteAutoDeskArchitectureEnginerringandConstructionCollect</w:t>
            </w:r>
            <w:r w:rsidRPr="00B70C63">
              <w:rPr>
                <w:rFonts w:eastAsia="Times New Roman"/>
                <w:color w:val="auto"/>
              </w:rPr>
              <w:lastRenderedPageBreak/>
              <w:t>ion</w:t>
            </w:r>
            <w:proofErr w:type="spellEnd"/>
            <w:r w:rsidRPr="00B70C63">
              <w:rPr>
                <w:rFonts w:eastAsia="Times New Roman"/>
                <w:color w:val="auto"/>
              </w:rPr>
              <w:t xml:space="preserve"> – AEC COLLECTION, já em uso pelo Conselho Nacional do Ministério Público - CNMP, conforme condições comerciais relacionadas ao Contrato AUTODESK Número nº 110002804049.</w:t>
            </w:r>
          </w:p>
          <w:p w14:paraId="60E14073" w14:textId="77777777" w:rsidR="00C6167B" w:rsidRPr="00B70C63" w:rsidRDefault="00C6167B" w:rsidP="00F02E5E">
            <w:pPr>
              <w:pStyle w:val="Default"/>
              <w:spacing w:line="360" w:lineRule="auto"/>
              <w:rPr>
                <w:rFonts w:eastAsia="Times New Roman"/>
                <w:color w:val="auto"/>
              </w:rPr>
            </w:pPr>
          </w:p>
        </w:tc>
        <w:tc>
          <w:tcPr>
            <w:tcW w:w="917" w:type="pct"/>
            <w:vAlign w:val="center"/>
          </w:tcPr>
          <w:p w14:paraId="3C7260B5" w14:textId="77777777" w:rsidR="00C6167B" w:rsidRPr="00B70C63" w:rsidRDefault="00C6167B" w:rsidP="00F02E5E">
            <w:pPr>
              <w:pStyle w:val="Default"/>
              <w:spacing w:line="360" w:lineRule="auto"/>
              <w:jc w:val="center"/>
              <w:rPr>
                <w:rFonts w:eastAsia="Times New Roman"/>
                <w:color w:val="auto"/>
              </w:rPr>
            </w:pPr>
            <w:r w:rsidRPr="00B70C63">
              <w:rPr>
                <w:rFonts w:eastAsia="Times New Roman"/>
                <w:color w:val="auto"/>
              </w:rPr>
              <w:lastRenderedPageBreak/>
              <w:t>4</w:t>
            </w:r>
          </w:p>
        </w:tc>
        <w:tc>
          <w:tcPr>
            <w:tcW w:w="749" w:type="pct"/>
            <w:vAlign w:val="center"/>
          </w:tcPr>
          <w:p w14:paraId="0AF4CCEF" w14:textId="77777777" w:rsidR="00C6167B" w:rsidRPr="00B70C63" w:rsidRDefault="00C6167B" w:rsidP="00F02E5E">
            <w:pPr>
              <w:pStyle w:val="Default"/>
              <w:spacing w:line="360" w:lineRule="auto"/>
              <w:jc w:val="center"/>
              <w:rPr>
                <w:rFonts w:eastAsia="Times New Roman"/>
                <w:color w:val="auto"/>
              </w:rPr>
            </w:pPr>
            <w:r w:rsidRPr="00B70C63">
              <w:rPr>
                <w:rFonts w:eastAsia="Times New Roman"/>
                <w:b/>
                <w:bCs/>
                <w:color w:val="auto"/>
              </w:rPr>
              <w:t>R$ _____</w:t>
            </w:r>
          </w:p>
        </w:tc>
        <w:tc>
          <w:tcPr>
            <w:tcW w:w="1000" w:type="pct"/>
            <w:vAlign w:val="center"/>
          </w:tcPr>
          <w:p w14:paraId="6C66A3BF" w14:textId="77777777" w:rsidR="00C6167B" w:rsidRPr="00B70C63" w:rsidRDefault="00C6167B" w:rsidP="00F02E5E">
            <w:pPr>
              <w:pStyle w:val="Default"/>
              <w:spacing w:line="360" w:lineRule="auto"/>
              <w:jc w:val="center"/>
              <w:rPr>
                <w:rFonts w:eastAsia="Times New Roman"/>
                <w:b/>
                <w:bCs/>
                <w:color w:val="auto"/>
              </w:rPr>
            </w:pPr>
            <w:r w:rsidRPr="00B70C63">
              <w:rPr>
                <w:rFonts w:eastAsia="Times New Roman"/>
                <w:b/>
                <w:bCs/>
                <w:color w:val="auto"/>
              </w:rPr>
              <w:t>R$ _____</w:t>
            </w:r>
          </w:p>
        </w:tc>
      </w:tr>
      <w:tr w:rsidR="00C6167B" w:rsidRPr="007573A4" w14:paraId="506A9313" w14:textId="77777777" w:rsidTr="00F02E5E">
        <w:trPr>
          <w:trHeight w:val="567"/>
        </w:trPr>
        <w:tc>
          <w:tcPr>
            <w:tcW w:w="584" w:type="pct"/>
            <w:vAlign w:val="center"/>
          </w:tcPr>
          <w:p w14:paraId="21DB494E" w14:textId="77777777" w:rsidR="00C6167B" w:rsidRPr="00B70C63" w:rsidRDefault="00C6167B" w:rsidP="00F02E5E">
            <w:pPr>
              <w:pStyle w:val="Default"/>
              <w:spacing w:line="360" w:lineRule="auto"/>
              <w:jc w:val="center"/>
              <w:rPr>
                <w:rFonts w:eastAsia="Times New Roman"/>
                <w:color w:val="auto"/>
              </w:rPr>
            </w:pPr>
            <w:r w:rsidRPr="00B70C63">
              <w:rPr>
                <w:rFonts w:eastAsia="Times New Roman"/>
                <w:color w:val="auto"/>
              </w:rPr>
              <w:t>2</w:t>
            </w:r>
          </w:p>
        </w:tc>
        <w:tc>
          <w:tcPr>
            <w:tcW w:w="1750" w:type="pct"/>
            <w:vAlign w:val="center"/>
          </w:tcPr>
          <w:p w14:paraId="7497EE6E" w14:textId="77777777" w:rsidR="00C6167B" w:rsidRPr="00B70C63" w:rsidRDefault="00C6167B" w:rsidP="00F02E5E">
            <w:pPr>
              <w:pStyle w:val="Default"/>
              <w:spacing w:line="360" w:lineRule="auto"/>
              <w:rPr>
                <w:rFonts w:eastAsia="Times New Roman"/>
                <w:color w:val="auto"/>
              </w:rPr>
            </w:pPr>
            <w:r w:rsidRPr="00B70C63">
              <w:rPr>
                <w:rFonts w:eastAsia="Times New Roman"/>
                <w:color w:val="auto"/>
              </w:rPr>
              <w:t xml:space="preserve">Contratação de serviços de subscrição de 02 (duas) novas licenças, com suporte técnico (manutenção), por 36 (trinta e seis) meses, do pacote de Software </w:t>
            </w:r>
            <w:proofErr w:type="spellStart"/>
            <w:r w:rsidRPr="00B70C63">
              <w:rPr>
                <w:rFonts w:eastAsia="Times New Roman"/>
                <w:color w:val="auto"/>
              </w:rPr>
              <w:t>SuiteAutoDeskArchitectureEnginerringandConstructionCollection</w:t>
            </w:r>
            <w:proofErr w:type="spellEnd"/>
            <w:r w:rsidRPr="00B70C63">
              <w:rPr>
                <w:rFonts w:eastAsia="Times New Roman"/>
                <w:color w:val="auto"/>
              </w:rPr>
              <w:t xml:space="preserve"> – AEC COLLECTION, para uso, em adição às licenças já existentes, pelo Conselho Nacional do Ministério Público - CNMP</w:t>
            </w:r>
          </w:p>
        </w:tc>
        <w:tc>
          <w:tcPr>
            <w:tcW w:w="917" w:type="pct"/>
            <w:vAlign w:val="center"/>
          </w:tcPr>
          <w:p w14:paraId="03A2DB8A" w14:textId="77777777" w:rsidR="00C6167B" w:rsidRPr="00837A56" w:rsidRDefault="00C6167B" w:rsidP="00F02E5E">
            <w:pPr>
              <w:pStyle w:val="Default"/>
              <w:spacing w:line="360" w:lineRule="auto"/>
              <w:jc w:val="center"/>
              <w:rPr>
                <w:rFonts w:eastAsia="Times New Roman"/>
                <w:color w:val="auto"/>
                <w:sz w:val="20"/>
                <w:szCs w:val="20"/>
              </w:rPr>
            </w:pPr>
            <w:r>
              <w:rPr>
                <w:rFonts w:eastAsia="Times New Roman"/>
                <w:color w:val="auto"/>
                <w:sz w:val="20"/>
                <w:szCs w:val="20"/>
              </w:rPr>
              <w:t>2</w:t>
            </w:r>
          </w:p>
        </w:tc>
        <w:tc>
          <w:tcPr>
            <w:tcW w:w="749" w:type="pct"/>
            <w:vAlign w:val="center"/>
          </w:tcPr>
          <w:p w14:paraId="19CCEE10" w14:textId="77777777" w:rsidR="00C6167B" w:rsidRDefault="00C6167B" w:rsidP="00F02E5E">
            <w:pPr>
              <w:pStyle w:val="Default"/>
              <w:spacing w:line="360" w:lineRule="auto"/>
              <w:jc w:val="center"/>
              <w:rPr>
                <w:rFonts w:eastAsia="Times New Roman"/>
                <w:color w:val="auto"/>
                <w:sz w:val="20"/>
                <w:szCs w:val="20"/>
              </w:rPr>
            </w:pPr>
            <w:r>
              <w:rPr>
                <w:rFonts w:eastAsia="Times New Roman"/>
                <w:b/>
                <w:bCs/>
                <w:color w:val="auto"/>
                <w:sz w:val="20"/>
                <w:szCs w:val="20"/>
              </w:rPr>
              <w:t>R$ _____</w:t>
            </w:r>
          </w:p>
        </w:tc>
        <w:tc>
          <w:tcPr>
            <w:tcW w:w="1000" w:type="pct"/>
            <w:vAlign w:val="center"/>
          </w:tcPr>
          <w:p w14:paraId="65D5A6BD" w14:textId="77777777" w:rsidR="00C6167B" w:rsidRPr="007573A4" w:rsidRDefault="00C6167B" w:rsidP="00F02E5E">
            <w:pPr>
              <w:pStyle w:val="Default"/>
              <w:spacing w:line="360" w:lineRule="auto"/>
              <w:jc w:val="center"/>
              <w:rPr>
                <w:rFonts w:eastAsia="Times New Roman"/>
                <w:b/>
                <w:bCs/>
                <w:color w:val="auto"/>
                <w:sz w:val="20"/>
                <w:szCs w:val="20"/>
              </w:rPr>
            </w:pPr>
            <w:r>
              <w:rPr>
                <w:rFonts w:eastAsia="Times New Roman"/>
                <w:b/>
                <w:bCs/>
                <w:color w:val="auto"/>
                <w:sz w:val="20"/>
                <w:szCs w:val="20"/>
              </w:rPr>
              <w:t>R$ _____</w:t>
            </w:r>
          </w:p>
        </w:tc>
      </w:tr>
    </w:tbl>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06EEAC4D"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5C3F05">
        <w:rPr>
          <w:rFonts w:eastAsia="Times New Roman" w:cs="Times New Roman"/>
          <w:sz w:val="24"/>
          <w:szCs w:val="24"/>
        </w:rPr>
        <w:t>a Seção 16</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w:t>
      </w:r>
      <w:r w:rsidRPr="00041761">
        <w:rPr>
          <w:rFonts w:cs="Times New Roman"/>
          <w:sz w:val="24"/>
          <w:szCs w:val="24"/>
        </w:rPr>
        <w:lastRenderedPageBreak/>
        <w:t xml:space="preserve">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622D257" w14:textId="40ACB0D9"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NONA</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lastRenderedPageBreak/>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1985F5C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DEZ</w:t>
      </w:r>
      <w:r w:rsidRPr="00041761">
        <w:rPr>
          <w:rFonts w:eastAsia="Arial" w:cs="Times New Roman"/>
          <w:b/>
          <w:color w:val="000000"/>
          <w:sz w:val="24"/>
          <w:szCs w:val="24"/>
        </w:rPr>
        <w:t xml:space="preserv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78A22DEB" w14:textId="2106EA5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ON</w:t>
      </w:r>
      <w:r w:rsidR="004D1F7C">
        <w:rPr>
          <w:rFonts w:eastAsia="Arial" w:cs="Times New Roman"/>
          <w:b/>
          <w:color w:val="000000"/>
          <w:sz w:val="24"/>
          <w:szCs w:val="24"/>
        </w:rPr>
        <w:t>ZE</w:t>
      </w:r>
      <w:r w:rsidRPr="00041761">
        <w:rPr>
          <w:rFonts w:eastAsia="Arial" w:cs="Times New Roman"/>
          <w:b/>
          <w:color w:val="000000"/>
          <w:sz w:val="24"/>
          <w:szCs w:val="24"/>
        </w:rPr>
        <w:t xml:space="preserv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1FC5BE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251725">
        <w:rPr>
          <w:rFonts w:eastAsia="Arial" w:cs="Times New Roman"/>
          <w:b/>
          <w:color w:val="000000"/>
          <w:sz w:val="24"/>
          <w:szCs w:val="24"/>
        </w:rPr>
        <w:t>DO</w:t>
      </w:r>
      <w:r w:rsidR="004D1F7C">
        <w:rPr>
          <w:rFonts w:eastAsia="Arial" w:cs="Times New Roman"/>
          <w:b/>
          <w:color w:val="000000"/>
          <w:sz w:val="24"/>
          <w:szCs w:val="24"/>
        </w:rPr>
        <w:t>ZE</w:t>
      </w:r>
      <w:r w:rsidRPr="00041761">
        <w:rPr>
          <w:rFonts w:eastAsia="Arial" w:cs="Times New Roman"/>
          <w:b/>
          <w:color w:val="000000"/>
          <w:sz w:val="24"/>
          <w:szCs w:val="24"/>
        </w:rPr>
        <w:t xml:space="preserv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4AA21112"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w:t>
      </w:r>
      <w:r w:rsidR="00EB7F22">
        <w:rPr>
          <w:rFonts w:eastAsia="Times New Roman" w:cs="Times New Roman"/>
          <w:sz w:val="24"/>
          <w:szCs w:val="24"/>
        </w:rPr>
        <w:t>,</w:t>
      </w:r>
      <w:r w:rsidRPr="00041761">
        <w:rPr>
          <w:rFonts w:eastAsia="Times New Roman" w:cs="Times New Roman"/>
          <w:sz w:val="24"/>
          <w:szCs w:val="24"/>
        </w:rPr>
        <w:t xml:space="preserve"> 8.666/93</w:t>
      </w:r>
      <w:r w:rsidR="00251725">
        <w:rPr>
          <w:rFonts w:eastAsia="Times New Roman" w:cs="Times New Roman"/>
          <w:sz w:val="24"/>
          <w:szCs w:val="24"/>
        </w:rPr>
        <w:t xml:space="preserve"> </w:t>
      </w:r>
      <w:r w:rsidR="00251725" w:rsidRPr="00251725">
        <w:rPr>
          <w:rFonts w:eastAsia="Times New Roman" w:cs="Times New Roman"/>
          <w:sz w:val="24"/>
          <w:szCs w:val="24"/>
        </w:rPr>
        <w:t xml:space="preserve">e </w:t>
      </w:r>
      <w:r w:rsidR="00251725" w:rsidRPr="00251725">
        <w:rPr>
          <w:sz w:val="24"/>
          <w:szCs w:val="24"/>
        </w:rPr>
        <w:t>Portaria CNMP-SG nº 378/2021, alterada pela Portaria CNMP-SG nº 160/2022</w:t>
      </w:r>
      <w:r w:rsidR="00251725">
        <w:rPr>
          <w:sz w:val="24"/>
          <w:szCs w:val="24"/>
        </w:rPr>
        <w:t>,</w:t>
      </w:r>
      <w:r w:rsidRPr="00041761">
        <w:rPr>
          <w:rFonts w:eastAsia="Times New Roman" w:cs="Times New Roman"/>
          <w:sz w:val="24"/>
          <w:szCs w:val="24"/>
        </w:rPr>
        <w:t xml:space="preserve"> 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w:t>
      </w:r>
      <w:r w:rsidRPr="00041761">
        <w:rPr>
          <w:rFonts w:cs="Times New Roman"/>
          <w:sz w:val="24"/>
          <w:szCs w:val="24"/>
        </w:rPr>
        <w:lastRenderedPageBreak/>
        <w:t>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53694E35"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804570">
        <w:rPr>
          <w:rFonts w:ascii="Times New Roman" w:hAnsi="Times New Roman" w:cs="Times New Roman"/>
          <w:sz w:val="24"/>
          <w:szCs w:val="24"/>
        </w:rPr>
        <w:t>17</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804570">
        <w:rPr>
          <w:rFonts w:ascii="Times New Roman" w:hAnsi="Times New Roman" w:cs="Times New Roman"/>
          <w:sz w:val="24"/>
          <w:szCs w:val="24"/>
        </w:rPr>
        <w:t>18</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25FD0194" w:rsidR="00F20B46" w:rsidRDefault="00804570" w:rsidP="00F20B46">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 xml:space="preserve">CLÁUSULA </w:t>
      </w:r>
      <w:r w:rsidR="00251725">
        <w:rPr>
          <w:rFonts w:cs="Times New Roman"/>
          <w:b/>
          <w:color w:val="000000"/>
          <w:sz w:val="24"/>
          <w:szCs w:val="24"/>
        </w:rPr>
        <w:t>TRE</w:t>
      </w:r>
      <w:r w:rsidR="004D1F7C">
        <w:rPr>
          <w:rFonts w:cs="Times New Roman"/>
          <w:b/>
          <w:color w:val="000000"/>
          <w:sz w:val="24"/>
          <w:szCs w:val="24"/>
        </w:rPr>
        <w:t>ZE</w:t>
      </w:r>
      <w:r w:rsidR="00F20B46" w:rsidRPr="00041761">
        <w:rPr>
          <w:rFonts w:cs="Times New Roman"/>
          <w:b/>
          <w:color w:val="000000"/>
          <w:sz w:val="24"/>
          <w:szCs w:val="24"/>
        </w:rPr>
        <w:t xml:space="preserve"> – DA RESCISÃO</w:t>
      </w:r>
    </w:p>
    <w:p w14:paraId="763255EA" w14:textId="77777777" w:rsidR="00251725" w:rsidRPr="00041761" w:rsidRDefault="00251725"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lastRenderedPageBreak/>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076227C9"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804570">
        <w:rPr>
          <w:rFonts w:cs="Times New Roman"/>
          <w:b/>
          <w:sz w:val="24"/>
          <w:szCs w:val="24"/>
        </w:rPr>
        <w:t>QU</w:t>
      </w:r>
      <w:r w:rsidR="00251725">
        <w:rPr>
          <w:rFonts w:cs="Times New Roman"/>
          <w:b/>
          <w:sz w:val="24"/>
          <w:szCs w:val="24"/>
        </w:rPr>
        <w:t>ATOR</w:t>
      </w:r>
      <w:r w:rsidR="004D1F7C">
        <w:rPr>
          <w:rFonts w:cs="Times New Roman"/>
          <w:b/>
          <w:sz w:val="24"/>
          <w:szCs w:val="24"/>
        </w:rPr>
        <w:t>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456D898D" w:rsidR="00106BED" w:rsidRPr="00106BED" w:rsidRDefault="00804570" w:rsidP="00106BED">
      <w:pPr>
        <w:pStyle w:val="Standard"/>
        <w:spacing w:line="360" w:lineRule="auto"/>
        <w:jc w:val="both"/>
        <w:rPr>
          <w:rFonts w:eastAsia="Arial" w:cs="Times New Roman"/>
          <w:b/>
          <w:bCs/>
          <w:sz w:val="24"/>
          <w:szCs w:val="24"/>
        </w:rPr>
      </w:pPr>
      <w:r>
        <w:rPr>
          <w:rFonts w:eastAsia="Arial" w:cs="Times New Roman"/>
          <w:b/>
          <w:bCs/>
          <w:sz w:val="24"/>
          <w:szCs w:val="24"/>
        </w:rPr>
        <w:t xml:space="preserve">CLÁUSULA </w:t>
      </w:r>
      <w:r w:rsidR="00251725">
        <w:rPr>
          <w:rFonts w:eastAsia="Arial" w:cs="Times New Roman"/>
          <w:b/>
          <w:bCs/>
          <w:sz w:val="24"/>
          <w:szCs w:val="24"/>
        </w:rPr>
        <w:t>QUINZE</w:t>
      </w:r>
      <w:r w:rsidR="00106BED" w:rsidRPr="00106BED">
        <w:rPr>
          <w:rFonts w:eastAsia="Arial" w:cs="Times New Roman"/>
          <w:b/>
          <w:bCs/>
          <w:sz w:val="24"/>
          <w:szCs w:val="24"/>
        </w:rPr>
        <w:t xml:space="preserve"> –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lastRenderedPageBreak/>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2692B6A1"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804570">
        <w:rPr>
          <w:rFonts w:cs="Times New Roman"/>
          <w:b/>
          <w:sz w:val="24"/>
          <w:szCs w:val="24"/>
        </w:rPr>
        <w:t>S</w:t>
      </w:r>
      <w:r w:rsidR="00251725">
        <w:rPr>
          <w:rFonts w:cs="Times New Roman"/>
          <w:b/>
          <w:sz w:val="24"/>
          <w:szCs w:val="24"/>
        </w:rPr>
        <w:t>EIS</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68368387"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251725">
        <w:rPr>
          <w:rFonts w:cs="Times New Roman"/>
          <w:b/>
          <w:sz w:val="24"/>
          <w:szCs w:val="24"/>
        </w:rPr>
        <w:t>ETE</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lastRenderedPageBreak/>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598FC78B" w14:textId="77777777" w:rsidR="00251725" w:rsidRDefault="00251725" w:rsidP="00C618CA">
            <w:pPr>
              <w:widowControl/>
              <w:suppressAutoHyphens w:val="0"/>
              <w:ind w:left="700" w:right="700"/>
              <w:jc w:val="center"/>
              <w:textAlignment w:val="auto"/>
              <w:rPr>
                <w:rFonts w:eastAsia="Times New Roman" w:cs="Times New Roman"/>
                <w:b/>
                <w:bCs/>
                <w:kern w:val="0"/>
                <w:lang w:eastAsia="pt-BR" w:bidi="ar-SA"/>
              </w:rPr>
            </w:pPr>
          </w:p>
          <w:p w14:paraId="0939108A" w14:textId="5F5BA32C"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0067E728" w14:textId="77777777" w:rsidR="003C6426" w:rsidRDefault="003C6426" w:rsidP="003C6426">
            <w:pPr>
              <w:rPr>
                <w:rFonts w:eastAsia="Times New Roman" w:cs="Times New Roman"/>
                <w:lang w:eastAsia="pt-BR" w:bidi="ar-SA"/>
              </w:rPr>
            </w:pPr>
          </w:p>
          <w:p w14:paraId="6D3C440A" w14:textId="0416F955" w:rsidR="00251725" w:rsidRPr="00251725" w:rsidRDefault="00251725" w:rsidP="00251725">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9D39" w14:textId="77777777" w:rsidR="008E0544" w:rsidRDefault="008E0544">
      <w:r>
        <w:separator/>
      </w:r>
    </w:p>
  </w:endnote>
  <w:endnote w:type="continuationSeparator" w:id="0">
    <w:p w14:paraId="50911CF0" w14:textId="77777777" w:rsidR="008E0544" w:rsidRDefault="008E0544">
      <w:r>
        <w:continuationSeparator/>
      </w:r>
    </w:p>
  </w:endnote>
  <w:endnote w:type="continuationNotice" w:id="1">
    <w:p w14:paraId="04E60AA3" w14:textId="77777777" w:rsidR="008E0544" w:rsidRDefault="008E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E723ED" w:rsidRDefault="00E723ED">
    <w:pPr>
      <w:pStyle w:val="Rodap"/>
      <w:jc w:val="both"/>
    </w:pPr>
  </w:p>
  <w:p w14:paraId="0036EAE5" w14:textId="180B512A" w:rsidR="00E723ED" w:rsidRDefault="00E723ED">
    <w:pPr>
      <w:pStyle w:val="Rodap"/>
      <w:jc w:val="both"/>
    </w:pPr>
    <w:r>
      <w:rPr>
        <w:rFonts w:ascii="Trebuchet MS" w:hAnsi="Trebuchet MS" w:cs="Tahoma"/>
        <w:sz w:val="16"/>
        <w:szCs w:val="16"/>
      </w:rPr>
      <w:t xml:space="preserve">SEI </w:t>
    </w:r>
    <w:r w:rsidRPr="002E60FD">
      <w:rPr>
        <w:rFonts w:ascii="Trebuchet MS" w:hAnsi="Trebuchet MS" w:cs="Tahoma"/>
        <w:sz w:val="16"/>
        <w:szCs w:val="16"/>
      </w:rPr>
      <w:t>19.00.6160.0003047/2022-42</w:t>
    </w:r>
    <w:r>
      <w:rPr>
        <w:rFonts w:ascii="Trebuchet MS" w:hAnsi="Trebuchet MS" w:cs="Tahoma"/>
        <w:sz w:val="16"/>
        <w:szCs w:val="16"/>
      </w:rPr>
      <w:tab/>
      <w:t>Pregão Eletrônico CNMP nº 11/2022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E723ED" w:rsidRDefault="00E723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E723ED" w:rsidRDefault="00E723ED">
    <w:pPr>
      <w:pStyle w:val="Rodap"/>
      <w:jc w:val="both"/>
    </w:pPr>
  </w:p>
  <w:p w14:paraId="4AE5D798" w14:textId="05CC07AE" w:rsidR="00E723ED" w:rsidRDefault="00E723ED">
    <w:pPr>
      <w:pStyle w:val="Rodap"/>
      <w:jc w:val="both"/>
    </w:pPr>
    <w:r>
      <w:rPr>
        <w:rFonts w:ascii="Trebuchet MS" w:hAnsi="Trebuchet MS" w:cs="Tahoma"/>
        <w:sz w:val="16"/>
        <w:szCs w:val="16"/>
      </w:rPr>
      <w:t xml:space="preserve">SEI </w:t>
    </w:r>
    <w:r w:rsidRPr="00E0208F">
      <w:rPr>
        <w:rStyle w:val="Hyperlink"/>
        <w:rFonts w:ascii="Trebuchet MS" w:hAnsi="Trebuchet MS" w:cs="Times New Roman"/>
        <w:color w:val="000000"/>
        <w:sz w:val="16"/>
        <w:szCs w:val="16"/>
        <w:u w:val="none"/>
      </w:rPr>
      <w:t>19.00.6160.0003047/2022-42</w:t>
    </w:r>
    <w:r>
      <w:rPr>
        <w:rFonts w:ascii="Trebuchet MS" w:hAnsi="Trebuchet MS" w:cs="Tahoma"/>
        <w:sz w:val="16"/>
        <w:szCs w:val="16"/>
      </w:rPr>
      <w:tab/>
      <w:t>Pregão Eletrônico CNMP nº 11/2022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48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4357A966" w14:textId="77777777" w:rsidR="00E723ED" w:rsidRDefault="00E723ED">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E723ED" w:rsidRDefault="00E723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723ED" w:rsidRDefault="00E723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E723ED" w:rsidRDefault="00E723ED">
    <w:pPr>
      <w:pStyle w:val="Rodap"/>
      <w:jc w:val="both"/>
    </w:pPr>
  </w:p>
  <w:p w14:paraId="448CBBD8" w14:textId="73884B76" w:rsidR="00E723ED" w:rsidRDefault="00E723ED">
    <w:pPr>
      <w:pStyle w:val="Rodap"/>
      <w:jc w:val="both"/>
    </w:pPr>
    <w:r>
      <w:rPr>
        <w:rFonts w:ascii="Trebuchet MS" w:hAnsi="Trebuchet MS" w:cs="Tahoma"/>
        <w:sz w:val="16"/>
        <w:szCs w:val="16"/>
      </w:rPr>
      <w:t xml:space="preserve">SEI </w:t>
    </w:r>
    <w:r w:rsidRPr="00F02E5E">
      <w:rPr>
        <w:rStyle w:val="Hyperlink"/>
        <w:rFonts w:ascii="Trebuchet MS" w:hAnsi="Trebuchet MS" w:cs="Times New Roman"/>
        <w:color w:val="000000"/>
        <w:sz w:val="16"/>
        <w:szCs w:val="16"/>
        <w:u w:val="none"/>
      </w:rPr>
      <w:t>19.00.6160.0003047/2022-42</w:t>
    </w:r>
    <w:r>
      <w:rPr>
        <w:rFonts w:ascii="Trebuchet MS" w:hAnsi="Trebuchet MS" w:cs="Tahoma"/>
        <w:sz w:val="16"/>
        <w:szCs w:val="16"/>
      </w:rPr>
      <w:tab/>
      <w:t>Pregão Eletrônico CNMP nº 11/2022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7B37605A" w14:textId="77777777" w:rsidR="00E723ED" w:rsidRDefault="00E723ED">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E723ED" w:rsidRDefault="00E72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9DD5" w14:textId="77777777" w:rsidR="008E0544" w:rsidRDefault="008E0544">
      <w:r>
        <w:separator/>
      </w:r>
    </w:p>
  </w:footnote>
  <w:footnote w:type="continuationSeparator" w:id="0">
    <w:p w14:paraId="0F4D7449" w14:textId="77777777" w:rsidR="008E0544" w:rsidRDefault="008E0544">
      <w:r>
        <w:continuationSeparator/>
      </w:r>
    </w:p>
  </w:footnote>
  <w:footnote w:type="continuationNotice" w:id="1">
    <w:p w14:paraId="3469680F" w14:textId="77777777" w:rsidR="008E0544" w:rsidRDefault="008E0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E723ED" w:rsidRDefault="00E723ED">
    <w:pPr>
      <w:pStyle w:val="Standard"/>
    </w:pPr>
  </w:p>
  <w:p w14:paraId="53387908" w14:textId="77777777" w:rsidR="00E723ED" w:rsidRDefault="00E723ED">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723ED" w:rsidRDefault="00E723ED">
    <w:pPr>
      <w:pStyle w:val="Standard"/>
    </w:pPr>
  </w:p>
  <w:p w14:paraId="37EFA3E3" w14:textId="77777777" w:rsidR="00E723ED" w:rsidRDefault="00E723ED">
    <w:pPr>
      <w:pStyle w:val="Standard"/>
    </w:pPr>
  </w:p>
  <w:p w14:paraId="41C6AC2A" w14:textId="77777777" w:rsidR="00E723ED" w:rsidRDefault="00E723ED">
    <w:pPr>
      <w:pStyle w:val="Standard"/>
    </w:pPr>
  </w:p>
  <w:p w14:paraId="2DC44586" w14:textId="77777777" w:rsidR="00E723ED" w:rsidRDefault="00E723ED">
    <w:pPr>
      <w:pStyle w:val="Standard"/>
    </w:pPr>
  </w:p>
  <w:p w14:paraId="4FFCBC07" w14:textId="77777777" w:rsidR="00E723ED" w:rsidRDefault="00E723ED">
    <w:pPr>
      <w:pStyle w:val="Standard"/>
    </w:pPr>
  </w:p>
  <w:p w14:paraId="31F211AE"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723ED" w:rsidRDefault="00E723E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E723ED" w:rsidRDefault="00E723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E723ED" w:rsidRDefault="00E723ED">
    <w:pPr>
      <w:pStyle w:val="Standard"/>
    </w:pPr>
  </w:p>
  <w:p w14:paraId="3889A505" w14:textId="77777777" w:rsidR="00E723ED" w:rsidRDefault="00E723ED">
    <w:pPr>
      <w:pStyle w:val="Standard"/>
    </w:pPr>
  </w:p>
  <w:p w14:paraId="29079D35" w14:textId="77777777" w:rsidR="00E723ED" w:rsidRDefault="00E723ED">
    <w:pPr>
      <w:pStyle w:val="Standard"/>
    </w:pPr>
  </w:p>
  <w:p w14:paraId="503E0D82" w14:textId="77777777" w:rsidR="00E723ED" w:rsidRDefault="00E723ED">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E723ED" w:rsidRDefault="00E723ED">
    <w:pPr>
      <w:pStyle w:val="Standard"/>
    </w:pPr>
  </w:p>
  <w:p w14:paraId="53BD644D" w14:textId="77777777" w:rsidR="00E723ED" w:rsidRDefault="00E723ED">
    <w:pPr>
      <w:pStyle w:val="Standard"/>
    </w:pPr>
  </w:p>
  <w:p w14:paraId="1A3FAC43" w14:textId="77777777" w:rsidR="00E723ED" w:rsidRDefault="00E723ED">
    <w:pPr>
      <w:pStyle w:val="Standard"/>
    </w:pPr>
  </w:p>
  <w:p w14:paraId="3220F671"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E723ED" w:rsidRDefault="00E723E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E723ED" w:rsidRDefault="00E723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E723ED" w:rsidRDefault="00E723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E723ED" w:rsidRDefault="00E723ED">
    <w:pPr>
      <w:pStyle w:val="Standard"/>
    </w:pPr>
  </w:p>
  <w:p w14:paraId="1A499DFC" w14:textId="77777777" w:rsidR="00E723ED" w:rsidRDefault="00E723ED">
    <w:pPr>
      <w:pStyle w:val="Standard"/>
    </w:pPr>
  </w:p>
  <w:p w14:paraId="5E7E3C41" w14:textId="77777777" w:rsidR="00E723ED" w:rsidRDefault="00E723ED">
    <w:pPr>
      <w:pStyle w:val="Standard"/>
    </w:pPr>
  </w:p>
  <w:p w14:paraId="03F828E4" w14:textId="77777777" w:rsidR="00E723ED" w:rsidRDefault="00E723ED">
    <w:pPr>
      <w:pStyle w:val="Standard"/>
    </w:pPr>
  </w:p>
  <w:p w14:paraId="2AC57CB0" w14:textId="77777777" w:rsidR="00E723ED" w:rsidRDefault="00E723ED">
    <w:pPr>
      <w:pStyle w:val="Standard"/>
    </w:pPr>
  </w:p>
  <w:p w14:paraId="6665AF0E" w14:textId="77777777" w:rsidR="00E723ED" w:rsidRDefault="00E723ED">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723ED" w:rsidRDefault="00E723ED">
    <w:pPr>
      <w:pStyle w:val="Standard"/>
    </w:pPr>
  </w:p>
  <w:p w14:paraId="77E36463"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723ED" w:rsidRDefault="00E723E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E723ED" w:rsidRDefault="00E72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CF43BF"/>
    <w:multiLevelType w:val="hybridMultilevel"/>
    <w:tmpl w:val="28A0DE5C"/>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2" w15:restartNumberingAfterBreak="0">
    <w:nsid w:val="230C404C"/>
    <w:multiLevelType w:val="multilevel"/>
    <w:tmpl w:val="CE400DFC"/>
    <w:lvl w:ilvl="0">
      <w:start w:val="1"/>
      <w:numFmt w:val="decimal"/>
      <w:lvlText w:val="%1."/>
      <w:lvlJc w:val="left"/>
      <w:pPr>
        <w:ind w:left="360" w:hanging="360"/>
      </w:pPr>
      <w:rPr>
        <w:b/>
      </w:rPr>
    </w:lvl>
    <w:lvl w:ilvl="1">
      <w:start w:val="1"/>
      <w:numFmt w:val="lowerLetter"/>
      <w:lvlText w:val="%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8" w15:restartNumberingAfterBreak="0">
    <w:nsid w:val="340C0152"/>
    <w:multiLevelType w:val="hybridMultilevel"/>
    <w:tmpl w:val="CCBE1468"/>
    <w:lvl w:ilvl="0" w:tplc="8CF8B2A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9"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7705485"/>
    <w:multiLevelType w:val="multilevel"/>
    <w:tmpl w:val="71069736"/>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5"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7"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9"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0"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BB0246"/>
    <w:multiLevelType w:val="multilevel"/>
    <w:tmpl w:val="355687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5"/>
  </w:num>
  <w:num w:numId="7">
    <w:abstractNumId w:val="23"/>
  </w:num>
  <w:num w:numId="8">
    <w:abstractNumId w:val="39"/>
  </w:num>
  <w:num w:numId="9">
    <w:abstractNumId w:val="45"/>
  </w:num>
  <w:num w:numId="10">
    <w:abstractNumId w:val="40"/>
  </w:num>
  <w:num w:numId="11">
    <w:abstractNumId w:val="43"/>
  </w:num>
  <w:num w:numId="12">
    <w:abstractNumId w:val="50"/>
  </w:num>
  <w:num w:numId="13">
    <w:abstractNumId w:val="41"/>
  </w:num>
  <w:num w:numId="14">
    <w:abstractNumId w:val="34"/>
  </w:num>
  <w:num w:numId="15">
    <w:abstractNumId w:val="28"/>
  </w:num>
  <w:num w:numId="16">
    <w:abstractNumId w:val="26"/>
  </w:num>
  <w:num w:numId="17">
    <w:abstractNumId w:val="36"/>
  </w:num>
  <w:num w:numId="18">
    <w:abstractNumId w:val="30"/>
  </w:num>
  <w:num w:numId="19">
    <w:abstractNumId w:val="48"/>
  </w:num>
  <w:num w:numId="20">
    <w:abstractNumId w:val="35"/>
  </w:num>
  <w:num w:numId="21">
    <w:abstractNumId w:val="44"/>
  </w:num>
  <w:num w:numId="22">
    <w:abstractNumId w:val="22"/>
  </w:num>
  <w:num w:numId="23">
    <w:abstractNumId w:val="47"/>
  </w:num>
  <w:num w:numId="24">
    <w:abstractNumId w:val="33"/>
  </w:num>
  <w:num w:numId="25">
    <w:abstractNumId w:val="54"/>
  </w:num>
  <w:num w:numId="26">
    <w:abstractNumId w:val="21"/>
  </w:num>
  <w:num w:numId="27">
    <w:abstractNumId w:val="25"/>
  </w:num>
  <w:num w:numId="28">
    <w:abstractNumId w:val="52"/>
  </w:num>
  <w:num w:numId="29">
    <w:abstractNumId w:val="24"/>
  </w:num>
  <w:num w:numId="30">
    <w:abstractNumId w:val="37"/>
  </w:num>
  <w:num w:numId="31">
    <w:abstractNumId w:val="49"/>
  </w:num>
  <w:num w:numId="32">
    <w:abstractNumId w:val="27"/>
  </w:num>
  <w:num w:numId="33">
    <w:abstractNumId w:val="20"/>
  </w:num>
  <w:num w:numId="34">
    <w:abstractNumId w:val="46"/>
  </w:num>
  <w:num w:numId="35">
    <w:abstractNumId w:val="31"/>
  </w:num>
  <w:num w:numId="36">
    <w:abstractNumId w:val="51"/>
  </w:num>
  <w:num w:numId="37">
    <w:abstractNumId w:val="53"/>
  </w:num>
  <w:num w:numId="38">
    <w:abstractNumId w:val="29"/>
  </w:num>
  <w:num w:numId="39">
    <w:abstractNumId w:val="38"/>
  </w:num>
  <w:num w:numId="40">
    <w:abstractNumId w:val="32"/>
  </w:num>
  <w:num w:numId="41">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17504"/>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49D6"/>
    <w:rsid w:val="00066950"/>
    <w:rsid w:val="00067718"/>
    <w:rsid w:val="000723A6"/>
    <w:rsid w:val="0007272D"/>
    <w:rsid w:val="000762F6"/>
    <w:rsid w:val="0008337D"/>
    <w:rsid w:val="00086790"/>
    <w:rsid w:val="0009262D"/>
    <w:rsid w:val="000959E6"/>
    <w:rsid w:val="000A3B8D"/>
    <w:rsid w:val="000A753A"/>
    <w:rsid w:val="000B6363"/>
    <w:rsid w:val="000C1062"/>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3B10"/>
    <w:rsid w:val="001370EF"/>
    <w:rsid w:val="00141E80"/>
    <w:rsid w:val="00143CE1"/>
    <w:rsid w:val="00143EDA"/>
    <w:rsid w:val="001456B2"/>
    <w:rsid w:val="00152328"/>
    <w:rsid w:val="00153E3E"/>
    <w:rsid w:val="001547CA"/>
    <w:rsid w:val="00155BE7"/>
    <w:rsid w:val="00161954"/>
    <w:rsid w:val="00162025"/>
    <w:rsid w:val="00164007"/>
    <w:rsid w:val="00173D7B"/>
    <w:rsid w:val="00174B48"/>
    <w:rsid w:val="00175974"/>
    <w:rsid w:val="001759FB"/>
    <w:rsid w:val="00181313"/>
    <w:rsid w:val="00182D6D"/>
    <w:rsid w:val="00185243"/>
    <w:rsid w:val="001967EB"/>
    <w:rsid w:val="001A042E"/>
    <w:rsid w:val="001A1702"/>
    <w:rsid w:val="001A2B7E"/>
    <w:rsid w:val="001A3BAC"/>
    <w:rsid w:val="001B3CD7"/>
    <w:rsid w:val="001B6D54"/>
    <w:rsid w:val="001C4D87"/>
    <w:rsid w:val="001C789F"/>
    <w:rsid w:val="001D10A4"/>
    <w:rsid w:val="001D56C1"/>
    <w:rsid w:val="001D5726"/>
    <w:rsid w:val="001D6BAD"/>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1725"/>
    <w:rsid w:val="0025278A"/>
    <w:rsid w:val="00256078"/>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7856"/>
    <w:rsid w:val="002A36EB"/>
    <w:rsid w:val="002A450B"/>
    <w:rsid w:val="002A59C4"/>
    <w:rsid w:val="002A643A"/>
    <w:rsid w:val="002B2217"/>
    <w:rsid w:val="002B2549"/>
    <w:rsid w:val="002B475C"/>
    <w:rsid w:val="002C0991"/>
    <w:rsid w:val="002C523A"/>
    <w:rsid w:val="002D2BA8"/>
    <w:rsid w:val="002D415C"/>
    <w:rsid w:val="002D4D1A"/>
    <w:rsid w:val="002D4E81"/>
    <w:rsid w:val="002D50D2"/>
    <w:rsid w:val="002E0C87"/>
    <w:rsid w:val="002E40B7"/>
    <w:rsid w:val="002E60FD"/>
    <w:rsid w:val="002E6D48"/>
    <w:rsid w:val="002F4040"/>
    <w:rsid w:val="002F6ADD"/>
    <w:rsid w:val="002F7F36"/>
    <w:rsid w:val="003006EF"/>
    <w:rsid w:val="00304A83"/>
    <w:rsid w:val="0030662B"/>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D9A"/>
    <w:rsid w:val="00393F91"/>
    <w:rsid w:val="00394AB2"/>
    <w:rsid w:val="003A23A9"/>
    <w:rsid w:val="003B45D0"/>
    <w:rsid w:val="003C03DD"/>
    <w:rsid w:val="003C0A83"/>
    <w:rsid w:val="003C6426"/>
    <w:rsid w:val="003C7BF9"/>
    <w:rsid w:val="003C7E91"/>
    <w:rsid w:val="003D39D9"/>
    <w:rsid w:val="003E4C75"/>
    <w:rsid w:val="003E604D"/>
    <w:rsid w:val="003F1325"/>
    <w:rsid w:val="003F5340"/>
    <w:rsid w:val="00402D5C"/>
    <w:rsid w:val="004148EB"/>
    <w:rsid w:val="00422CE5"/>
    <w:rsid w:val="00422DDB"/>
    <w:rsid w:val="004243C8"/>
    <w:rsid w:val="00433618"/>
    <w:rsid w:val="00435FA1"/>
    <w:rsid w:val="00442392"/>
    <w:rsid w:val="004433EB"/>
    <w:rsid w:val="00445D03"/>
    <w:rsid w:val="00456689"/>
    <w:rsid w:val="00465636"/>
    <w:rsid w:val="00466E32"/>
    <w:rsid w:val="0047171A"/>
    <w:rsid w:val="00474E0E"/>
    <w:rsid w:val="004758E0"/>
    <w:rsid w:val="00481E1F"/>
    <w:rsid w:val="0048594A"/>
    <w:rsid w:val="004A1457"/>
    <w:rsid w:val="004A1BD7"/>
    <w:rsid w:val="004A46E8"/>
    <w:rsid w:val="004A68B2"/>
    <w:rsid w:val="004B6C74"/>
    <w:rsid w:val="004B7304"/>
    <w:rsid w:val="004C0CFE"/>
    <w:rsid w:val="004C3340"/>
    <w:rsid w:val="004C35C8"/>
    <w:rsid w:val="004D1F7C"/>
    <w:rsid w:val="004D3367"/>
    <w:rsid w:val="004D470F"/>
    <w:rsid w:val="004D4BEB"/>
    <w:rsid w:val="004E14A6"/>
    <w:rsid w:val="004E2485"/>
    <w:rsid w:val="004E380C"/>
    <w:rsid w:val="00504D2A"/>
    <w:rsid w:val="005119B2"/>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64C1D"/>
    <w:rsid w:val="005702AB"/>
    <w:rsid w:val="00571E07"/>
    <w:rsid w:val="00576175"/>
    <w:rsid w:val="00583923"/>
    <w:rsid w:val="0058493E"/>
    <w:rsid w:val="00584B0A"/>
    <w:rsid w:val="00587570"/>
    <w:rsid w:val="005951B3"/>
    <w:rsid w:val="005951D8"/>
    <w:rsid w:val="0059755A"/>
    <w:rsid w:val="005A0CC1"/>
    <w:rsid w:val="005A3572"/>
    <w:rsid w:val="005A460B"/>
    <w:rsid w:val="005A4B4C"/>
    <w:rsid w:val="005A78FE"/>
    <w:rsid w:val="005B4683"/>
    <w:rsid w:val="005C3750"/>
    <w:rsid w:val="005C3F05"/>
    <w:rsid w:val="005C49EE"/>
    <w:rsid w:val="005C6CC2"/>
    <w:rsid w:val="005C6FA1"/>
    <w:rsid w:val="005D0D5D"/>
    <w:rsid w:val="005D367B"/>
    <w:rsid w:val="005D36EB"/>
    <w:rsid w:val="005D3F70"/>
    <w:rsid w:val="005E0001"/>
    <w:rsid w:val="005E1E41"/>
    <w:rsid w:val="005E4B35"/>
    <w:rsid w:val="005F0E3C"/>
    <w:rsid w:val="005F48BA"/>
    <w:rsid w:val="005F5108"/>
    <w:rsid w:val="005F5239"/>
    <w:rsid w:val="005F538A"/>
    <w:rsid w:val="00603249"/>
    <w:rsid w:val="00605355"/>
    <w:rsid w:val="00605C4B"/>
    <w:rsid w:val="0061246E"/>
    <w:rsid w:val="006163E8"/>
    <w:rsid w:val="00617186"/>
    <w:rsid w:val="00625F25"/>
    <w:rsid w:val="00626C9F"/>
    <w:rsid w:val="0063112E"/>
    <w:rsid w:val="006327D9"/>
    <w:rsid w:val="006411A4"/>
    <w:rsid w:val="00653832"/>
    <w:rsid w:val="006600C2"/>
    <w:rsid w:val="006606BE"/>
    <w:rsid w:val="006621FA"/>
    <w:rsid w:val="006708C9"/>
    <w:rsid w:val="00674755"/>
    <w:rsid w:val="00677853"/>
    <w:rsid w:val="0068099A"/>
    <w:rsid w:val="00681010"/>
    <w:rsid w:val="006944C6"/>
    <w:rsid w:val="006945CC"/>
    <w:rsid w:val="006973A7"/>
    <w:rsid w:val="006A0F43"/>
    <w:rsid w:val="006A1A7D"/>
    <w:rsid w:val="006B27A2"/>
    <w:rsid w:val="006B3800"/>
    <w:rsid w:val="006C2610"/>
    <w:rsid w:val="006D0AD0"/>
    <w:rsid w:val="006D42BB"/>
    <w:rsid w:val="006D4A9A"/>
    <w:rsid w:val="006D7DBB"/>
    <w:rsid w:val="006E2B40"/>
    <w:rsid w:val="006E65AE"/>
    <w:rsid w:val="006F1D30"/>
    <w:rsid w:val="006F7401"/>
    <w:rsid w:val="006F7B8F"/>
    <w:rsid w:val="0070191C"/>
    <w:rsid w:val="00701F24"/>
    <w:rsid w:val="00703A57"/>
    <w:rsid w:val="00704A29"/>
    <w:rsid w:val="007071BB"/>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863CE"/>
    <w:rsid w:val="00790671"/>
    <w:rsid w:val="00793686"/>
    <w:rsid w:val="007975AE"/>
    <w:rsid w:val="007A08E3"/>
    <w:rsid w:val="007A3B68"/>
    <w:rsid w:val="007A4F78"/>
    <w:rsid w:val="007A6F22"/>
    <w:rsid w:val="007B0F6D"/>
    <w:rsid w:val="007B5831"/>
    <w:rsid w:val="007B7DAC"/>
    <w:rsid w:val="007C02DB"/>
    <w:rsid w:val="007C0738"/>
    <w:rsid w:val="007C3744"/>
    <w:rsid w:val="007C3F8D"/>
    <w:rsid w:val="007D18D5"/>
    <w:rsid w:val="007D3B55"/>
    <w:rsid w:val="007D3FAA"/>
    <w:rsid w:val="007E343F"/>
    <w:rsid w:val="007F6C81"/>
    <w:rsid w:val="00801869"/>
    <w:rsid w:val="00804570"/>
    <w:rsid w:val="00805A33"/>
    <w:rsid w:val="00807E8F"/>
    <w:rsid w:val="00810031"/>
    <w:rsid w:val="00817625"/>
    <w:rsid w:val="0081786F"/>
    <w:rsid w:val="00820A77"/>
    <w:rsid w:val="00820CD6"/>
    <w:rsid w:val="008327E5"/>
    <w:rsid w:val="00835375"/>
    <w:rsid w:val="00837775"/>
    <w:rsid w:val="00837969"/>
    <w:rsid w:val="00837A39"/>
    <w:rsid w:val="0084277E"/>
    <w:rsid w:val="0084600F"/>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96EB2"/>
    <w:rsid w:val="008A3A4E"/>
    <w:rsid w:val="008A6AA8"/>
    <w:rsid w:val="008A7A3F"/>
    <w:rsid w:val="008B550D"/>
    <w:rsid w:val="008B795F"/>
    <w:rsid w:val="008C4D1A"/>
    <w:rsid w:val="008C7B0C"/>
    <w:rsid w:val="008D5687"/>
    <w:rsid w:val="008E0544"/>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14A88"/>
    <w:rsid w:val="00924101"/>
    <w:rsid w:val="00925878"/>
    <w:rsid w:val="00926A32"/>
    <w:rsid w:val="00927531"/>
    <w:rsid w:val="00927B7D"/>
    <w:rsid w:val="009303F7"/>
    <w:rsid w:val="00931D4F"/>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47ED7"/>
    <w:rsid w:val="00A50AF8"/>
    <w:rsid w:val="00A523DC"/>
    <w:rsid w:val="00A55CE7"/>
    <w:rsid w:val="00A574BF"/>
    <w:rsid w:val="00A61E87"/>
    <w:rsid w:val="00A71BBE"/>
    <w:rsid w:val="00A721C7"/>
    <w:rsid w:val="00A735CB"/>
    <w:rsid w:val="00A772D6"/>
    <w:rsid w:val="00A811FC"/>
    <w:rsid w:val="00A81EB7"/>
    <w:rsid w:val="00A90601"/>
    <w:rsid w:val="00A910AF"/>
    <w:rsid w:val="00A9160C"/>
    <w:rsid w:val="00A9372F"/>
    <w:rsid w:val="00A940C4"/>
    <w:rsid w:val="00A9711C"/>
    <w:rsid w:val="00A97552"/>
    <w:rsid w:val="00A979B7"/>
    <w:rsid w:val="00A97F1C"/>
    <w:rsid w:val="00AA228C"/>
    <w:rsid w:val="00AA2689"/>
    <w:rsid w:val="00AA6064"/>
    <w:rsid w:val="00AA6245"/>
    <w:rsid w:val="00AB26BE"/>
    <w:rsid w:val="00AB65E7"/>
    <w:rsid w:val="00AC5CF0"/>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1D20"/>
    <w:rsid w:val="00B6454A"/>
    <w:rsid w:val="00B65503"/>
    <w:rsid w:val="00B67D55"/>
    <w:rsid w:val="00B70C63"/>
    <w:rsid w:val="00B71315"/>
    <w:rsid w:val="00B74B6F"/>
    <w:rsid w:val="00B75C63"/>
    <w:rsid w:val="00B760CB"/>
    <w:rsid w:val="00B773F3"/>
    <w:rsid w:val="00B81BAC"/>
    <w:rsid w:val="00B8254B"/>
    <w:rsid w:val="00B83B9B"/>
    <w:rsid w:val="00B8640B"/>
    <w:rsid w:val="00B9612C"/>
    <w:rsid w:val="00B9777C"/>
    <w:rsid w:val="00BA1070"/>
    <w:rsid w:val="00BA2E48"/>
    <w:rsid w:val="00BA658F"/>
    <w:rsid w:val="00BB3EF1"/>
    <w:rsid w:val="00BB7B87"/>
    <w:rsid w:val="00BC33B1"/>
    <w:rsid w:val="00BC60D5"/>
    <w:rsid w:val="00BC6AED"/>
    <w:rsid w:val="00BD0018"/>
    <w:rsid w:val="00BD0D0B"/>
    <w:rsid w:val="00BD0E5E"/>
    <w:rsid w:val="00BD256C"/>
    <w:rsid w:val="00BD47AD"/>
    <w:rsid w:val="00BD4FDB"/>
    <w:rsid w:val="00BD5F41"/>
    <w:rsid w:val="00BD6559"/>
    <w:rsid w:val="00BE0948"/>
    <w:rsid w:val="00BF7F35"/>
    <w:rsid w:val="00C00FCD"/>
    <w:rsid w:val="00C05797"/>
    <w:rsid w:val="00C063DC"/>
    <w:rsid w:val="00C158DC"/>
    <w:rsid w:val="00C15F6D"/>
    <w:rsid w:val="00C23AB1"/>
    <w:rsid w:val="00C25898"/>
    <w:rsid w:val="00C32299"/>
    <w:rsid w:val="00C332E2"/>
    <w:rsid w:val="00C35B77"/>
    <w:rsid w:val="00C46701"/>
    <w:rsid w:val="00C51F84"/>
    <w:rsid w:val="00C531B3"/>
    <w:rsid w:val="00C57822"/>
    <w:rsid w:val="00C6167B"/>
    <w:rsid w:val="00C618CA"/>
    <w:rsid w:val="00C62586"/>
    <w:rsid w:val="00C6742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756A"/>
    <w:rsid w:val="00CF0370"/>
    <w:rsid w:val="00CF2B22"/>
    <w:rsid w:val="00CF3FBB"/>
    <w:rsid w:val="00CF414D"/>
    <w:rsid w:val="00CF5551"/>
    <w:rsid w:val="00CF6BAE"/>
    <w:rsid w:val="00D05F7C"/>
    <w:rsid w:val="00D060E9"/>
    <w:rsid w:val="00D06293"/>
    <w:rsid w:val="00D10B6C"/>
    <w:rsid w:val="00D11F0F"/>
    <w:rsid w:val="00D124CF"/>
    <w:rsid w:val="00D1450E"/>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7D73"/>
    <w:rsid w:val="00DB05BF"/>
    <w:rsid w:val="00DB4BE9"/>
    <w:rsid w:val="00DB54E0"/>
    <w:rsid w:val="00DC4270"/>
    <w:rsid w:val="00DC5DDE"/>
    <w:rsid w:val="00DD1BC6"/>
    <w:rsid w:val="00DD273C"/>
    <w:rsid w:val="00DE0C3D"/>
    <w:rsid w:val="00DE3563"/>
    <w:rsid w:val="00DF6551"/>
    <w:rsid w:val="00DF6EB0"/>
    <w:rsid w:val="00E006B9"/>
    <w:rsid w:val="00E008B5"/>
    <w:rsid w:val="00E0169A"/>
    <w:rsid w:val="00E0208F"/>
    <w:rsid w:val="00E04D03"/>
    <w:rsid w:val="00E05441"/>
    <w:rsid w:val="00E068F2"/>
    <w:rsid w:val="00E107BB"/>
    <w:rsid w:val="00E11AD6"/>
    <w:rsid w:val="00E16726"/>
    <w:rsid w:val="00E16A37"/>
    <w:rsid w:val="00E215EE"/>
    <w:rsid w:val="00E224F2"/>
    <w:rsid w:val="00E27878"/>
    <w:rsid w:val="00E32E6B"/>
    <w:rsid w:val="00E37D1B"/>
    <w:rsid w:val="00E411E1"/>
    <w:rsid w:val="00E41D2C"/>
    <w:rsid w:val="00E42082"/>
    <w:rsid w:val="00E42098"/>
    <w:rsid w:val="00E42B87"/>
    <w:rsid w:val="00E45B38"/>
    <w:rsid w:val="00E46098"/>
    <w:rsid w:val="00E4715E"/>
    <w:rsid w:val="00E47E10"/>
    <w:rsid w:val="00E52105"/>
    <w:rsid w:val="00E524F8"/>
    <w:rsid w:val="00E5300F"/>
    <w:rsid w:val="00E55874"/>
    <w:rsid w:val="00E55A9F"/>
    <w:rsid w:val="00E55DE0"/>
    <w:rsid w:val="00E60365"/>
    <w:rsid w:val="00E63D80"/>
    <w:rsid w:val="00E655D1"/>
    <w:rsid w:val="00E668A1"/>
    <w:rsid w:val="00E66C6F"/>
    <w:rsid w:val="00E67CC7"/>
    <w:rsid w:val="00E723ED"/>
    <w:rsid w:val="00E7279E"/>
    <w:rsid w:val="00E72DEC"/>
    <w:rsid w:val="00E73122"/>
    <w:rsid w:val="00E75642"/>
    <w:rsid w:val="00E75FA5"/>
    <w:rsid w:val="00E76169"/>
    <w:rsid w:val="00E800FD"/>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8F3"/>
    <w:rsid w:val="00EB7F22"/>
    <w:rsid w:val="00EC00DE"/>
    <w:rsid w:val="00EC23D1"/>
    <w:rsid w:val="00EC7170"/>
    <w:rsid w:val="00ED434A"/>
    <w:rsid w:val="00EE0227"/>
    <w:rsid w:val="00EE363B"/>
    <w:rsid w:val="00EE523B"/>
    <w:rsid w:val="00EE5D6F"/>
    <w:rsid w:val="00EF3291"/>
    <w:rsid w:val="00EF6A2F"/>
    <w:rsid w:val="00EF71E7"/>
    <w:rsid w:val="00F004D3"/>
    <w:rsid w:val="00F02E5E"/>
    <w:rsid w:val="00F034C6"/>
    <w:rsid w:val="00F060B7"/>
    <w:rsid w:val="00F10729"/>
    <w:rsid w:val="00F10B0B"/>
    <w:rsid w:val="00F14177"/>
    <w:rsid w:val="00F15780"/>
    <w:rsid w:val="00F20B46"/>
    <w:rsid w:val="00F27BE9"/>
    <w:rsid w:val="00F34CAC"/>
    <w:rsid w:val="00F407A0"/>
    <w:rsid w:val="00F463EB"/>
    <w:rsid w:val="00F52193"/>
    <w:rsid w:val="00F55128"/>
    <w:rsid w:val="00F55EF0"/>
    <w:rsid w:val="00F5689A"/>
    <w:rsid w:val="00F56B9C"/>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7EFF"/>
    <w:rsid w:val="00FB1C9A"/>
    <w:rsid w:val="00FB3667"/>
    <w:rsid w:val="00FB5F07"/>
    <w:rsid w:val="00FB7358"/>
    <w:rsid w:val="00FC120A"/>
    <w:rsid w:val="00FC7680"/>
    <w:rsid w:val="00FD6608"/>
    <w:rsid w:val="00FD78B3"/>
    <w:rsid w:val="00FE07B9"/>
    <w:rsid w:val="00FE509F"/>
    <w:rsid w:val="00FE551C"/>
    <w:rsid w:val="00FE5562"/>
    <w:rsid w:val="00FF752D"/>
    <w:rsid w:val="01A84620"/>
    <w:rsid w:val="05AED71D"/>
    <w:rsid w:val="0A1387E6"/>
    <w:rsid w:val="11A6952C"/>
    <w:rsid w:val="142F020C"/>
    <w:rsid w:val="1581C319"/>
    <w:rsid w:val="18967A89"/>
    <w:rsid w:val="1A3836A1"/>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08F6FFA"/>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docId w15:val="{294C632B-14CA-4318-B1EE-566173A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1C3B3-4045-4E49-9D72-9A863E59D9C6}">
  <ds:schemaRefs>
    <ds:schemaRef ds:uri="http://schemas.openxmlformats.org/officeDocument/2006/bibliography"/>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D8948-B2E8-4F94-A00A-D3C9332772D4}">
  <ds:schemaRefs>
    <ds:schemaRef ds:uri="adca2612-f75d-4765-87f7-cf0577fafd30"/>
    <ds:schemaRef ds:uri="298094f4-7b13-4174-8b1c-9931fc68d42b"/>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69</Pages>
  <Words>17909</Words>
  <Characters>96714</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2021-04-20T19:00:00Z</cp:lastPrinted>
  <dcterms:created xsi:type="dcterms:W3CDTF">2022-07-04T18:26:00Z</dcterms:created>
  <dcterms:modified xsi:type="dcterms:W3CDTF">2022-07-04T18:26:00Z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