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C23712B"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4C7EFE">
              <w:rPr>
                <w:rFonts w:cs="Times New Roman"/>
                <w:b/>
                <w:bCs/>
                <w:sz w:val="24"/>
                <w:szCs w:val="24"/>
              </w:rPr>
              <w:t>22</w:t>
            </w:r>
            <w:r w:rsidR="00F87211" w:rsidRPr="360D1DF5">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476DB11"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242AA3" w:rsidRPr="00286AA7">
              <w:rPr>
                <w:b/>
                <w:bCs/>
                <w:sz w:val="24"/>
                <w:szCs w:val="24"/>
              </w:rPr>
              <w:t xml:space="preserve">: </w:t>
            </w:r>
            <w:r w:rsidR="004052B2">
              <w:rPr>
                <w:b/>
                <w:bCs/>
                <w:sz w:val="24"/>
                <w:szCs w:val="24"/>
              </w:rPr>
              <w:t>21</w:t>
            </w:r>
            <w:r w:rsidRPr="00286AA7">
              <w:rPr>
                <w:b/>
                <w:bCs/>
                <w:sz w:val="24"/>
                <w:szCs w:val="24"/>
              </w:rPr>
              <w:t>/</w:t>
            </w:r>
            <w:r w:rsidR="004052B2">
              <w:rPr>
                <w:b/>
                <w:bCs/>
                <w:sz w:val="24"/>
                <w:szCs w:val="24"/>
              </w:rPr>
              <w:t>09</w:t>
            </w:r>
            <w:r w:rsidRPr="00286AA7">
              <w:rPr>
                <w:b/>
                <w:bCs/>
                <w:sz w:val="24"/>
                <w:szCs w:val="24"/>
              </w:rPr>
              <w:t>/202</w:t>
            </w:r>
            <w:r w:rsidR="00B96E90">
              <w:rPr>
                <w:b/>
                <w:bCs/>
                <w:sz w:val="24"/>
                <w:szCs w:val="24"/>
              </w:rPr>
              <w:t>2</w:t>
            </w:r>
            <w:r w:rsidR="004052B2">
              <w:rPr>
                <w:b/>
                <w:bCs/>
                <w:sz w:val="24"/>
                <w:szCs w:val="24"/>
              </w:rPr>
              <w:t xml:space="preserve"> às 14 horas</w:t>
            </w:r>
          </w:p>
        </w:tc>
      </w:tr>
      <w:tr w:rsidR="006163E8" w14:paraId="2DFC74AB" w14:textId="77777777" w:rsidTr="360D1DF5">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360D1DF5">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3F9DE81" w:rsidR="006163E8" w:rsidRPr="006B3341" w:rsidRDefault="002A43E7" w:rsidP="00D64DB8">
            <w:pPr>
              <w:pStyle w:val="Ttulo2"/>
              <w:spacing w:line="360" w:lineRule="auto"/>
              <w:jc w:val="both"/>
              <w:rPr>
                <w:rFonts w:ascii="Times New Roman" w:hAnsi="Times New Roman" w:cs="Times New Roman"/>
                <w:b w:val="0"/>
                <w:bCs w:val="0"/>
                <w:sz w:val="24"/>
                <w:szCs w:val="24"/>
              </w:rPr>
            </w:pPr>
            <w:r w:rsidRPr="006B3341">
              <w:rPr>
                <w:rFonts w:ascii="Times New Roman" w:hAnsi="Times New Roman" w:cs="Times New Roman"/>
                <w:b w:val="0"/>
                <w:bCs w:val="0"/>
                <w:color w:val="000000"/>
                <w:sz w:val="24"/>
                <w:szCs w:val="24"/>
              </w:rPr>
              <w:t>Aquisição d</w:t>
            </w:r>
            <w:r w:rsidR="00CA670C">
              <w:rPr>
                <w:rFonts w:ascii="Times New Roman" w:hAnsi="Times New Roman" w:cs="Times New Roman"/>
                <w:b w:val="0"/>
                <w:bCs w:val="0"/>
                <w:color w:val="000000"/>
                <w:sz w:val="24"/>
                <w:szCs w:val="24"/>
              </w:rPr>
              <w:t>e</w:t>
            </w:r>
            <w:r w:rsidR="00C75DFE">
              <w:rPr>
                <w:rFonts w:ascii="Times New Roman" w:hAnsi="Times New Roman" w:cs="Times New Roman"/>
                <w:b w:val="0"/>
                <w:bCs w:val="0"/>
                <w:color w:val="000000"/>
                <w:sz w:val="24"/>
                <w:szCs w:val="24"/>
              </w:rPr>
              <w:t xml:space="preserve"> contêiner para depósito de resíduos</w:t>
            </w:r>
            <w:r w:rsidRPr="006B3341">
              <w:rPr>
                <w:rFonts w:ascii="Times New Roman" w:hAnsi="Times New Roman" w:cs="Times New Roman"/>
                <w:b w:val="0"/>
                <w:bCs w:val="0"/>
                <w:color w:val="000000"/>
                <w:sz w:val="24"/>
                <w:szCs w:val="24"/>
              </w:rPr>
              <w:t>,</w:t>
            </w:r>
            <w:r w:rsidR="00C75DFE">
              <w:rPr>
                <w:rFonts w:ascii="Times New Roman" w:hAnsi="Times New Roman" w:cs="Times New Roman"/>
                <w:b w:val="0"/>
                <w:bCs w:val="0"/>
                <w:color w:val="000000"/>
                <w:sz w:val="24"/>
                <w:szCs w:val="24"/>
              </w:rPr>
              <w:t xml:space="preserve"> conforme </w:t>
            </w:r>
            <w:r w:rsidR="00AE2800">
              <w:rPr>
                <w:rFonts w:ascii="Times New Roman" w:hAnsi="Times New Roman" w:cs="Times New Roman"/>
                <w:b w:val="0"/>
                <w:bCs w:val="0"/>
                <w:color w:val="000000"/>
                <w:sz w:val="24"/>
                <w:szCs w:val="24"/>
              </w:rPr>
              <w:t>especificações, quantidades e demais condi</w:t>
            </w:r>
            <w:r w:rsidR="00542A4A">
              <w:rPr>
                <w:rFonts w:ascii="Times New Roman" w:hAnsi="Times New Roman" w:cs="Times New Roman"/>
                <w:b w:val="0"/>
                <w:bCs w:val="0"/>
                <w:color w:val="000000"/>
                <w:sz w:val="24"/>
                <w:szCs w:val="24"/>
              </w:rPr>
              <w:t>ções constantes no Termo de Referência,</w:t>
            </w:r>
            <w:r w:rsidRPr="006B3341">
              <w:rPr>
                <w:rFonts w:ascii="Times New Roman" w:hAnsi="Times New Roman" w:cs="Times New Roman"/>
                <w:b w:val="0"/>
                <w:bCs w:val="0"/>
                <w:color w:val="000000"/>
                <w:sz w:val="24"/>
                <w:szCs w:val="24"/>
              </w:rPr>
              <w:t xml:space="preserve"> para atender às necessidades do Conselho Nacional do Ministério Público</w:t>
            </w:r>
            <w:r w:rsidR="006B3341">
              <w:rPr>
                <w:rFonts w:ascii="Times New Roman" w:hAnsi="Times New Roman" w:cs="Times New Roman"/>
                <w:b w:val="0"/>
                <w:bCs w:val="0"/>
                <w:color w:val="000000"/>
                <w:sz w:val="24"/>
                <w:szCs w:val="24"/>
              </w:rPr>
              <w:t>.</w:t>
            </w:r>
          </w:p>
        </w:tc>
      </w:tr>
      <w:tr w:rsidR="006163E8" w14:paraId="608E65D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529D4B68" w14:textId="5DC541EA" w:rsidR="00266514" w:rsidRDefault="006B3341">
            <w:pPr>
              <w:pStyle w:val="textojustificadorecuoprimeiralinha"/>
              <w:spacing w:before="0" w:after="0"/>
              <w:ind w:right="700"/>
              <w:jc w:val="both"/>
              <w:rPr>
                <w:rStyle w:val="Forte"/>
                <w:color w:val="000000"/>
              </w:rPr>
            </w:pPr>
            <w:r>
              <w:rPr>
                <w:rStyle w:val="Forte"/>
                <w:color w:val="000000"/>
              </w:rPr>
              <w:t xml:space="preserve">R$ </w:t>
            </w:r>
            <w:r w:rsidR="00133382">
              <w:rPr>
                <w:rStyle w:val="Forte"/>
                <w:color w:val="000000"/>
              </w:rPr>
              <w:t xml:space="preserve">3.600,00 </w:t>
            </w:r>
            <w:r w:rsidR="00D0799F">
              <w:rPr>
                <w:rStyle w:val="Forte"/>
                <w:color w:val="000000"/>
              </w:rPr>
              <w:t>(três mil e seiscentos reais</w:t>
            </w:r>
            <w:r>
              <w:rPr>
                <w:rStyle w:val="Forte"/>
                <w:color w:val="000000"/>
              </w:rPr>
              <w:t>).</w:t>
            </w:r>
          </w:p>
          <w:p w14:paraId="0A37501D" w14:textId="2D05CD2F" w:rsidR="006B3341" w:rsidRDefault="006B3341">
            <w:pPr>
              <w:pStyle w:val="textojustificadorecuoprimeiralinha"/>
              <w:spacing w:before="0" w:after="0"/>
              <w:ind w:right="700"/>
              <w:jc w:val="both"/>
              <w:rPr>
                <w:color w:val="000000"/>
              </w:rPr>
            </w:pPr>
          </w:p>
        </w:tc>
      </w:tr>
      <w:tr w:rsidR="006163E8" w14:paraId="2B9E25A0"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A068387" w:rsidR="006163E8" w:rsidRPr="00025A6B" w:rsidRDefault="00B200B1" w:rsidP="0014350E">
            <w:pPr>
              <w:pStyle w:val="Standard"/>
              <w:spacing w:line="360" w:lineRule="auto"/>
              <w:jc w:val="center"/>
              <w:rPr>
                <w:sz w:val="24"/>
                <w:szCs w:val="24"/>
              </w:rPr>
            </w:pPr>
            <w:r>
              <w:rPr>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E463E4D" w:rsidR="006163E8" w:rsidRDefault="006163E8">
            <w:pPr>
              <w:pStyle w:val="Standard"/>
              <w:spacing w:line="360" w:lineRule="auto"/>
              <w:jc w:val="center"/>
            </w:pPr>
            <w:r>
              <w:rPr>
                <w:rFonts w:cs="Times New Roman"/>
                <w:sz w:val="24"/>
                <w:szCs w:val="24"/>
              </w:rPr>
              <w:t xml:space="preserve">Menor Preço por </w:t>
            </w:r>
            <w:r w:rsidR="006B3341">
              <w:rPr>
                <w:rFonts w:cs="Times New Roman"/>
                <w:sz w:val="24"/>
                <w:szCs w:val="24"/>
              </w:rPr>
              <w:t>item</w:t>
            </w:r>
          </w:p>
        </w:tc>
      </w:tr>
      <w:tr w:rsidR="006163E8" w14:paraId="4F6D885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DCB18D8" w:rsidR="006163E8" w:rsidRPr="005301C2" w:rsidRDefault="00B24A61" w:rsidP="000B192B">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4052B2">
              <w:rPr>
                <w:rFonts w:cs="Times New Roman"/>
                <w:sz w:val="24"/>
                <w:szCs w:val="24"/>
              </w:rPr>
              <w:t>16</w:t>
            </w:r>
            <w:r w:rsidRPr="005301C2">
              <w:rPr>
                <w:rFonts w:cs="Times New Roman"/>
                <w:sz w:val="24"/>
                <w:szCs w:val="24"/>
              </w:rPr>
              <w:t>/</w:t>
            </w:r>
            <w:r w:rsidR="004052B2">
              <w:rPr>
                <w:rFonts w:cs="Times New Roman"/>
                <w:sz w:val="24"/>
                <w:szCs w:val="24"/>
              </w:rPr>
              <w:t>09</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9DA642F" w:rsidR="006163E8" w:rsidRPr="005301C2" w:rsidRDefault="00B24A61" w:rsidP="000B192B">
            <w:pPr>
              <w:pStyle w:val="Standard"/>
              <w:spacing w:line="360" w:lineRule="auto"/>
            </w:pPr>
            <w:proofErr w:type="gramStart"/>
            <w:r w:rsidRPr="005301C2">
              <w:rPr>
                <w:rFonts w:cs="Times New Roman"/>
                <w:sz w:val="24"/>
                <w:szCs w:val="24"/>
              </w:rPr>
              <w:t xml:space="preserve">Até </w:t>
            </w:r>
            <w:r w:rsidR="00796245" w:rsidRPr="005301C2">
              <w:rPr>
                <w:rFonts w:cs="Times New Roman"/>
                <w:sz w:val="24"/>
                <w:szCs w:val="24"/>
              </w:rPr>
              <w:t xml:space="preserve"> </w:t>
            </w:r>
            <w:r w:rsidR="004052B2">
              <w:rPr>
                <w:rFonts w:cs="Times New Roman"/>
                <w:sz w:val="24"/>
                <w:szCs w:val="24"/>
              </w:rPr>
              <w:t>16</w:t>
            </w:r>
            <w:proofErr w:type="gramEnd"/>
            <w:r w:rsidR="00796245" w:rsidRPr="005301C2">
              <w:rPr>
                <w:rFonts w:cs="Times New Roman"/>
                <w:sz w:val="24"/>
                <w:szCs w:val="24"/>
              </w:rPr>
              <w:t>/</w:t>
            </w:r>
            <w:r w:rsidR="004052B2">
              <w:rPr>
                <w:rFonts w:cs="Times New Roman"/>
                <w:sz w:val="24"/>
                <w:szCs w:val="24"/>
              </w:rPr>
              <w:t>09</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r>
      <w:tr w:rsidR="006163E8" w14:paraId="1D649709"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360D1DF5">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6208312C" w:rsidR="005301C2" w:rsidRDefault="005301C2" w:rsidP="33AB22A9">
      <w:pPr>
        <w:pStyle w:val="Standard"/>
        <w:spacing w:line="360" w:lineRule="auto"/>
        <w:jc w:val="center"/>
        <w:rPr>
          <w:b/>
          <w:bCs/>
          <w:sz w:val="24"/>
          <w:szCs w:val="24"/>
          <w:u w:val="single"/>
        </w:rPr>
      </w:pPr>
    </w:p>
    <w:p w14:paraId="6F5341BE" w14:textId="77777777" w:rsidR="00F37854" w:rsidRDefault="00F37854" w:rsidP="33AB22A9">
      <w:pPr>
        <w:pStyle w:val="Standard"/>
        <w:spacing w:line="360" w:lineRule="auto"/>
        <w:jc w:val="center"/>
        <w:rPr>
          <w:b/>
          <w:bCs/>
          <w:sz w:val="24"/>
          <w:szCs w:val="24"/>
          <w:u w:val="single"/>
        </w:rPr>
      </w:pPr>
    </w:p>
    <w:p w14:paraId="1D8BF730" w14:textId="77777777" w:rsidR="005301C2" w:rsidRDefault="005301C2" w:rsidP="33AB22A9">
      <w:pPr>
        <w:pStyle w:val="Standard"/>
        <w:spacing w:line="360" w:lineRule="auto"/>
        <w:jc w:val="center"/>
        <w:rPr>
          <w:b/>
          <w:bCs/>
          <w:sz w:val="24"/>
          <w:szCs w:val="24"/>
          <w:u w:val="single"/>
        </w:rPr>
      </w:pPr>
    </w:p>
    <w:p w14:paraId="0C5014FC" w14:textId="67F5506C" w:rsidR="33AB22A9" w:rsidRDefault="33AB22A9" w:rsidP="33AB22A9">
      <w:pPr>
        <w:pStyle w:val="Standard"/>
        <w:spacing w:line="360" w:lineRule="auto"/>
        <w:jc w:val="center"/>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5C570C85"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0F067A">
        <w:rPr>
          <w:b/>
          <w:sz w:val="24"/>
          <w:szCs w:val="24"/>
          <w:u w:val="single"/>
        </w:rPr>
        <w:t>22</w:t>
      </w:r>
      <w:r w:rsidR="00F87211">
        <w:rPr>
          <w:b/>
          <w:sz w:val="24"/>
          <w:szCs w:val="24"/>
          <w:u w:val="single"/>
        </w:rPr>
        <w:t>/202</w:t>
      </w:r>
      <w:r w:rsidR="00EE1730">
        <w:rPr>
          <w:b/>
          <w:sz w:val="24"/>
          <w:szCs w:val="24"/>
          <w:u w:val="single"/>
        </w:rPr>
        <w:t>2</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A826705"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EE1730" w:rsidRPr="00EE1730">
        <w:rPr>
          <w:b/>
          <w:sz w:val="24"/>
          <w:szCs w:val="24"/>
          <w:u w:val="single"/>
        </w:rPr>
        <w:t>19.00.6150.0002127/2022-06</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18E01F60"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4052B2">
        <w:rPr>
          <w:b/>
          <w:bCs/>
          <w:sz w:val="24"/>
          <w:szCs w:val="24"/>
        </w:rPr>
        <w:t>21</w:t>
      </w:r>
      <w:r w:rsidR="006163E8" w:rsidRPr="764A2E3D">
        <w:rPr>
          <w:b/>
          <w:bCs/>
          <w:sz w:val="24"/>
          <w:szCs w:val="24"/>
        </w:rPr>
        <w:t>/</w:t>
      </w:r>
      <w:r w:rsidR="004052B2">
        <w:rPr>
          <w:b/>
          <w:bCs/>
          <w:sz w:val="24"/>
          <w:szCs w:val="24"/>
        </w:rPr>
        <w:t>09</w:t>
      </w:r>
      <w:r w:rsidRPr="764A2E3D">
        <w:rPr>
          <w:b/>
          <w:bCs/>
          <w:sz w:val="24"/>
          <w:szCs w:val="24"/>
        </w:rPr>
        <w:t>/202</w:t>
      </w:r>
      <w:r w:rsidR="00FE3B69">
        <w:rPr>
          <w:b/>
          <w:bCs/>
          <w:sz w:val="24"/>
          <w:szCs w:val="24"/>
        </w:rPr>
        <w:t>2</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249BB6D6"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designados pela Portaria nº 163, de 02 de maio de 2022</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337D0B" w:rsidRPr="00E56F58">
        <w:rPr>
          <w:rFonts w:eastAsia="Times New Roman" w:cs="Times New Roman"/>
          <w:b/>
          <w:bCs/>
          <w:sz w:val="24"/>
          <w:szCs w:val="24"/>
        </w:rPr>
        <w:t>dia</w:t>
      </w:r>
      <w:r w:rsidR="00D754F7" w:rsidRPr="00E56F58">
        <w:rPr>
          <w:rFonts w:eastAsia="Times New Roman" w:cs="Times New Roman"/>
          <w:b/>
          <w:bCs/>
          <w:sz w:val="24"/>
          <w:szCs w:val="24"/>
        </w:rPr>
        <w:t xml:space="preserve"> </w:t>
      </w:r>
      <w:r w:rsidR="004052B2">
        <w:rPr>
          <w:rFonts w:eastAsia="Times New Roman" w:cs="Times New Roman"/>
          <w:b/>
          <w:bCs/>
          <w:sz w:val="24"/>
          <w:szCs w:val="24"/>
        </w:rPr>
        <w:t xml:space="preserve">21 </w:t>
      </w:r>
      <w:r w:rsidR="00D754F7" w:rsidRPr="00E56F58">
        <w:rPr>
          <w:rFonts w:eastAsia="Times New Roman" w:cs="Times New Roman"/>
          <w:b/>
          <w:bCs/>
          <w:sz w:val="24"/>
          <w:szCs w:val="24"/>
        </w:rPr>
        <w:t>de</w:t>
      </w:r>
      <w:r w:rsidR="004052B2">
        <w:rPr>
          <w:rFonts w:eastAsia="Times New Roman" w:cs="Times New Roman"/>
          <w:b/>
          <w:bCs/>
          <w:sz w:val="24"/>
          <w:szCs w:val="24"/>
        </w:rPr>
        <w:t xml:space="preserve"> setembro</w:t>
      </w:r>
      <w:r w:rsidR="00796245" w:rsidRPr="00E56F58">
        <w:rPr>
          <w:rFonts w:eastAsia="Times New Roman" w:cs="Times New Roman"/>
          <w:b/>
          <w:bCs/>
          <w:sz w:val="24"/>
          <w:szCs w:val="24"/>
        </w:rPr>
        <w:t xml:space="preserve"> </w:t>
      </w:r>
      <w:r w:rsidR="00337D0B" w:rsidRPr="00E56F58">
        <w:rPr>
          <w:rFonts w:eastAsia="Times New Roman" w:cs="Times New Roman"/>
          <w:b/>
          <w:bCs/>
          <w:sz w:val="24"/>
          <w:szCs w:val="24"/>
        </w:rPr>
        <w:t>202</w:t>
      </w:r>
      <w:r w:rsidR="003E2E56">
        <w:rPr>
          <w:rFonts w:eastAsia="Times New Roman" w:cs="Times New Roman"/>
          <w:b/>
          <w:bCs/>
          <w:sz w:val="24"/>
          <w:szCs w:val="24"/>
        </w:rPr>
        <w:t>2</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3E2E56">
        <w:rPr>
          <w:rFonts w:cs="Trebuchet MS"/>
          <w:b/>
          <w:bCs/>
          <w:color w:val="000000"/>
          <w:sz w:val="24"/>
          <w:szCs w:val="24"/>
        </w:rPr>
        <w:t>ITEM</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971613">
        <w:rPr>
          <w:rStyle w:val="normaltextrun"/>
          <w:b/>
          <w:bCs/>
          <w:color w:val="000000"/>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7018FB" w:rsidRPr="00E56F58">
        <w:rPr>
          <w:rStyle w:val="Fontepargpadro2"/>
          <w:rFonts w:cs="Times New Roman"/>
          <w:sz w:val="24"/>
          <w:szCs w:val="24"/>
        </w:rPr>
        <w:t xml:space="preserve">a </w:t>
      </w:r>
      <w:r w:rsidR="002D4673">
        <w:rPr>
          <w:rFonts w:cs="Times New Roman"/>
          <w:b/>
          <w:bCs/>
          <w:color w:val="000000"/>
          <w:sz w:val="24"/>
          <w:szCs w:val="24"/>
        </w:rPr>
        <w:t>a</w:t>
      </w:r>
      <w:r w:rsidR="002D4673" w:rsidRPr="006B3341">
        <w:rPr>
          <w:rFonts w:cs="Times New Roman"/>
          <w:b/>
          <w:bCs/>
          <w:color w:val="000000"/>
          <w:sz w:val="24"/>
          <w:szCs w:val="24"/>
        </w:rPr>
        <w:t>quisição de contêiner para depósito de resíduos, para atender às necessidades do Conselho Nacional do Ministério Público</w:t>
      </w:r>
      <w:r w:rsidR="00E83DEB" w:rsidRPr="00E56F58">
        <w:rPr>
          <w:rFonts w:cs="Times New Roman"/>
          <w:b/>
          <w:bCs/>
          <w:sz w:val="24"/>
          <w:szCs w:val="24"/>
          <w:lang w:eastAsia="pt-BR"/>
        </w:rPr>
        <w:t xml:space="preserve">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14BBFC10"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B50690" w:rsidRPr="00B50690">
        <w:rPr>
          <w:rFonts w:cs="Times New Roman"/>
          <w:color w:val="000000"/>
          <w:szCs w:val="24"/>
        </w:rPr>
        <w:t>aquisição de contêineres para depósito de resíduos, para atender às necessidades do Conselho Nacional do Ministério Público</w:t>
      </w:r>
      <w:r w:rsidRPr="00B50690">
        <w:rPr>
          <w:rFonts w:eastAsia="Times New Roman" w:cs="Times New Roman"/>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11A045"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EXCLUSIVAMENTE AS MICROEMPRESAS – ME e EMPRESAS DE PEQUENO PORTE – EPP, qualificadas como tais nos termos do art. 3º, da Lei Complementar nº 123/2006, em observância ao disposto no 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 xml:space="preserve">5.1. Os licitantes encaminharão, exclusivamente por meio do sistema, </w:t>
      </w:r>
      <w: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77777777"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 dos mesmos.</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0F2513D2"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A53F37">
        <w:rPr>
          <w:color w:val="000000"/>
          <w:sz w:val="24"/>
          <w:szCs w:val="24"/>
        </w:rPr>
        <w:t>22</w:t>
      </w:r>
      <w:r w:rsidR="00F87211">
        <w:rPr>
          <w:color w:val="000000"/>
          <w:sz w:val="24"/>
          <w:szCs w:val="24"/>
        </w:rPr>
        <w:t>/202</w:t>
      </w:r>
      <w:r w:rsidR="00ED0EF8">
        <w:rPr>
          <w:color w:val="000000"/>
          <w:sz w:val="24"/>
          <w:szCs w:val="24"/>
        </w:rPr>
        <w:t>2</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5A1B872A" w:rsidR="006163E8" w:rsidRPr="00FF3F1B"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 xml:space="preserve">o dia </w:t>
      </w:r>
      <w:r w:rsidR="000A0674" w:rsidRPr="00FF3F1B">
        <w:rPr>
          <w:rFonts w:eastAsia="Arial" w:cs="Arial"/>
          <w:b/>
          <w:bCs/>
          <w:sz w:val="24"/>
          <w:szCs w:val="24"/>
        </w:rPr>
        <w:t xml:space="preserve"> </w:t>
      </w:r>
      <w:r w:rsidR="008A0B86">
        <w:rPr>
          <w:rFonts w:eastAsia="Arial" w:cs="Arial"/>
          <w:b/>
          <w:bCs/>
          <w:sz w:val="24"/>
          <w:szCs w:val="24"/>
        </w:rPr>
        <w:t xml:space="preserve"> </w:t>
      </w:r>
      <w:r w:rsidR="004052B2">
        <w:rPr>
          <w:rFonts w:eastAsia="Arial" w:cs="Arial"/>
          <w:b/>
          <w:bCs/>
          <w:sz w:val="24"/>
          <w:szCs w:val="24"/>
        </w:rPr>
        <w:t>16</w:t>
      </w:r>
      <w:r w:rsidR="00DC4270" w:rsidRPr="00FF3F1B">
        <w:rPr>
          <w:rFonts w:eastAsia="Times New Roman" w:cs="Times New Roman"/>
          <w:b/>
          <w:bCs/>
          <w:sz w:val="24"/>
          <w:szCs w:val="24"/>
        </w:rPr>
        <w:t>/</w:t>
      </w:r>
      <w:r w:rsidR="004052B2">
        <w:rPr>
          <w:rFonts w:eastAsia="Times New Roman" w:cs="Times New Roman"/>
          <w:b/>
          <w:bCs/>
          <w:sz w:val="24"/>
          <w:szCs w:val="24"/>
        </w:rPr>
        <w:t>09</w:t>
      </w:r>
      <w:r w:rsidR="00DC4270" w:rsidRPr="00FF3F1B">
        <w:rPr>
          <w:rFonts w:eastAsia="Times New Roman" w:cs="Times New Roman"/>
          <w:b/>
          <w:bCs/>
          <w:sz w:val="24"/>
          <w:szCs w:val="24"/>
        </w:rPr>
        <w:t>/202</w:t>
      </w:r>
      <w:r w:rsidR="008A0B86">
        <w:rPr>
          <w:rFonts w:eastAsia="Arial" w:cs="Arial"/>
          <w:b/>
          <w:bCs/>
          <w:sz w:val="24"/>
          <w:szCs w:val="24"/>
        </w:rPr>
        <w:t>2</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1B631002"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4052B2">
        <w:rPr>
          <w:rFonts w:eastAsia="Arial" w:cs="Arial"/>
          <w:b/>
          <w:bCs/>
          <w:sz w:val="24"/>
          <w:szCs w:val="24"/>
        </w:rPr>
        <w:t>16</w:t>
      </w:r>
      <w:r w:rsidR="00DC4270" w:rsidRPr="764A2E3D">
        <w:rPr>
          <w:rFonts w:eastAsia="Times New Roman" w:cs="Times New Roman"/>
          <w:b/>
          <w:bCs/>
          <w:sz w:val="24"/>
          <w:szCs w:val="24"/>
        </w:rPr>
        <w:t>/</w:t>
      </w:r>
      <w:r w:rsidR="004052B2">
        <w:rPr>
          <w:rFonts w:eastAsia="Times New Roman" w:cs="Times New Roman"/>
          <w:b/>
          <w:bCs/>
          <w:sz w:val="24"/>
          <w:szCs w:val="24"/>
        </w:rPr>
        <w:t>09</w:t>
      </w:r>
      <w:r w:rsidR="00DC4270" w:rsidRPr="764A2E3D">
        <w:rPr>
          <w:rFonts w:eastAsia="Times New Roman" w:cs="Times New Roman"/>
          <w:b/>
          <w:bCs/>
          <w:sz w:val="24"/>
          <w:szCs w:val="24"/>
        </w:rPr>
        <w:t>/202</w:t>
      </w:r>
      <w:r w:rsidR="008A0B86">
        <w:rPr>
          <w:rFonts w:eastAsia="Times New Roman" w:cs="Times New Roman"/>
          <w:b/>
          <w:bCs/>
          <w:sz w:val="24"/>
          <w:szCs w:val="24"/>
        </w:rPr>
        <w:t>2</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w:t>
      </w:r>
      <w:r w:rsidRPr="764A2E3D">
        <w:rPr>
          <w:rFonts w:eastAsia="Arial" w:cs="Arial"/>
          <w:color w:val="000000" w:themeColor="text1"/>
          <w:sz w:val="24"/>
          <w:szCs w:val="24"/>
        </w:rPr>
        <w:lastRenderedPageBreak/>
        <w:t>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C50A4E1"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B96E90">
        <w:rPr>
          <w:rFonts w:eastAsia="Arial" w:cs="Arial"/>
          <w:sz w:val="24"/>
          <w:szCs w:val="24"/>
        </w:rPr>
        <w:t>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54EAB088" w14:textId="1C5DB9C8"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9633" w:type="dxa"/>
        <w:tblInd w:w="-5" w:type="dxa"/>
        <w:tblLook w:val="04A0" w:firstRow="1" w:lastRow="0" w:firstColumn="1" w:lastColumn="0" w:noHBand="0" w:noVBand="1"/>
      </w:tblPr>
      <w:tblGrid>
        <w:gridCol w:w="751"/>
        <w:gridCol w:w="1267"/>
        <w:gridCol w:w="2951"/>
        <w:gridCol w:w="894"/>
        <w:gridCol w:w="1599"/>
        <w:gridCol w:w="1043"/>
        <w:gridCol w:w="1128"/>
      </w:tblGrid>
      <w:tr w:rsidR="006E645F" w:rsidRPr="00785FA8" w14:paraId="77F1CC0A" w14:textId="0DBFE800" w:rsidTr="006E645F">
        <w:trPr>
          <w:tblHeader/>
        </w:trPr>
        <w:tc>
          <w:tcPr>
            <w:tcW w:w="751" w:type="dxa"/>
            <w:shd w:val="clear" w:color="auto" w:fill="D9D9D9" w:themeFill="background1" w:themeFillShade="D9"/>
          </w:tcPr>
          <w:p w14:paraId="096E501F" w14:textId="77777777" w:rsidR="006E645F" w:rsidRPr="00785FA8" w:rsidRDefault="006E645F" w:rsidP="00C02798">
            <w:pPr>
              <w:jc w:val="center"/>
              <w:rPr>
                <w:rFonts w:cs="Times New Roman"/>
                <w:b/>
                <w:bCs/>
                <w:sz w:val="20"/>
                <w:szCs w:val="20"/>
              </w:rPr>
            </w:pPr>
            <w:r w:rsidRPr="00785FA8">
              <w:rPr>
                <w:rFonts w:cs="Times New Roman"/>
                <w:b/>
                <w:bCs/>
                <w:sz w:val="20"/>
                <w:szCs w:val="20"/>
              </w:rPr>
              <w:t>ITEM</w:t>
            </w:r>
          </w:p>
        </w:tc>
        <w:tc>
          <w:tcPr>
            <w:tcW w:w="1267" w:type="dxa"/>
            <w:shd w:val="clear" w:color="auto" w:fill="D9D9D9" w:themeFill="background1" w:themeFillShade="D9"/>
          </w:tcPr>
          <w:p w14:paraId="68046E6E" w14:textId="77777777" w:rsidR="006E645F" w:rsidRPr="00785FA8" w:rsidRDefault="006E645F" w:rsidP="00C02798">
            <w:pPr>
              <w:jc w:val="center"/>
              <w:rPr>
                <w:rFonts w:cs="Times New Roman"/>
                <w:b/>
                <w:bCs/>
                <w:sz w:val="20"/>
                <w:szCs w:val="20"/>
              </w:rPr>
            </w:pPr>
            <w:r w:rsidRPr="00785FA8">
              <w:rPr>
                <w:rFonts w:cs="Times New Roman"/>
                <w:b/>
                <w:bCs/>
                <w:sz w:val="20"/>
                <w:szCs w:val="20"/>
              </w:rPr>
              <w:t>OBJETO</w:t>
            </w:r>
          </w:p>
        </w:tc>
        <w:tc>
          <w:tcPr>
            <w:tcW w:w="2951" w:type="dxa"/>
            <w:shd w:val="clear" w:color="auto" w:fill="D9D9D9" w:themeFill="background1" w:themeFillShade="D9"/>
          </w:tcPr>
          <w:p w14:paraId="0D0D6282" w14:textId="77777777" w:rsidR="006E645F" w:rsidRPr="00785FA8" w:rsidRDefault="006E645F" w:rsidP="00C02798">
            <w:pPr>
              <w:jc w:val="center"/>
              <w:rPr>
                <w:rFonts w:cs="Times New Roman"/>
                <w:b/>
                <w:bCs/>
                <w:sz w:val="20"/>
                <w:szCs w:val="20"/>
              </w:rPr>
            </w:pPr>
            <w:r w:rsidRPr="00785FA8">
              <w:rPr>
                <w:rFonts w:cs="Times New Roman"/>
                <w:b/>
                <w:bCs/>
                <w:sz w:val="20"/>
                <w:szCs w:val="20"/>
              </w:rPr>
              <w:t>DESCRIÇÃO</w:t>
            </w:r>
          </w:p>
        </w:tc>
        <w:tc>
          <w:tcPr>
            <w:tcW w:w="894" w:type="dxa"/>
            <w:shd w:val="clear" w:color="auto" w:fill="D9D9D9" w:themeFill="background1" w:themeFillShade="D9"/>
          </w:tcPr>
          <w:p w14:paraId="5588C1F5" w14:textId="77777777" w:rsidR="006E645F" w:rsidRPr="00785FA8" w:rsidRDefault="006E645F" w:rsidP="00C02798">
            <w:pPr>
              <w:jc w:val="center"/>
              <w:rPr>
                <w:rFonts w:cs="Times New Roman"/>
                <w:b/>
                <w:bCs/>
                <w:sz w:val="20"/>
                <w:szCs w:val="20"/>
              </w:rPr>
            </w:pPr>
            <w:r w:rsidRPr="00785FA8">
              <w:rPr>
                <w:rFonts w:cs="Times New Roman"/>
                <w:b/>
                <w:bCs/>
                <w:sz w:val="20"/>
                <w:szCs w:val="20"/>
              </w:rPr>
              <w:t>UNID.</w:t>
            </w:r>
          </w:p>
        </w:tc>
        <w:tc>
          <w:tcPr>
            <w:tcW w:w="1599" w:type="dxa"/>
            <w:shd w:val="clear" w:color="auto" w:fill="D9D9D9" w:themeFill="background1" w:themeFillShade="D9"/>
          </w:tcPr>
          <w:p w14:paraId="7A85BEB3" w14:textId="77777777" w:rsidR="006E645F" w:rsidRPr="00785FA8" w:rsidRDefault="006E645F" w:rsidP="00C02798">
            <w:pPr>
              <w:jc w:val="center"/>
              <w:rPr>
                <w:rFonts w:cs="Times New Roman"/>
                <w:b/>
                <w:bCs/>
                <w:sz w:val="20"/>
                <w:szCs w:val="20"/>
              </w:rPr>
            </w:pPr>
            <w:r w:rsidRPr="00785FA8">
              <w:rPr>
                <w:rFonts w:cs="Times New Roman"/>
                <w:b/>
                <w:bCs/>
                <w:sz w:val="20"/>
                <w:szCs w:val="20"/>
              </w:rPr>
              <w:t>QTDE</w:t>
            </w:r>
          </w:p>
        </w:tc>
        <w:tc>
          <w:tcPr>
            <w:tcW w:w="1043" w:type="dxa"/>
            <w:shd w:val="clear" w:color="auto" w:fill="D9D9D9" w:themeFill="background1" w:themeFillShade="D9"/>
          </w:tcPr>
          <w:p w14:paraId="643927C4" w14:textId="4F734DEF" w:rsidR="006E645F" w:rsidRPr="00785FA8" w:rsidRDefault="006E645F" w:rsidP="00C02798">
            <w:pPr>
              <w:jc w:val="center"/>
              <w:rPr>
                <w:rFonts w:cs="Times New Roman"/>
                <w:b/>
                <w:bCs/>
                <w:sz w:val="20"/>
                <w:szCs w:val="20"/>
              </w:rPr>
            </w:pPr>
            <w:r>
              <w:rPr>
                <w:rFonts w:cs="Times New Roman"/>
                <w:b/>
                <w:bCs/>
                <w:sz w:val="20"/>
                <w:szCs w:val="20"/>
              </w:rPr>
              <w:t>Valor Unit.</w:t>
            </w:r>
            <w:r w:rsidR="00C02798">
              <w:rPr>
                <w:rFonts w:cs="Times New Roman"/>
                <w:b/>
                <w:bCs/>
                <w:sz w:val="20"/>
                <w:szCs w:val="20"/>
              </w:rPr>
              <w:t xml:space="preserve"> </w:t>
            </w:r>
            <w:r>
              <w:rPr>
                <w:rFonts w:cs="Times New Roman"/>
                <w:b/>
                <w:bCs/>
                <w:sz w:val="20"/>
                <w:szCs w:val="20"/>
              </w:rPr>
              <w:t>(R$)</w:t>
            </w:r>
          </w:p>
        </w:tc>
        <w:tc>
          <w:tcPr>
            <w:tcW w:w="1128" w:type="dxa"/>
            <w:shd w:val="clear" w:color="auto" w:fill="D9D9D9" w:themeFill="background1" w:themeFillShade="D9"/>
          </w:tcPr>
          <w:p w14:paraId="16340452" w14:textId="3BC92CA3" w:rsidR="006E645F" w:rsidRPr="00785FA8" w:rsidRDefault="006E645F" w:rsidP="00C02798">
            <w:pPr>
              <w:jc w:val="center"/>
              <w:rPr>
                <w:rFonts w:cs="Times New Roman"/>
                <w:b/>
                <w:bCs/>
                <w:sz w:val="20"/>
                <w:szCs w:val="20"/>
              </w:rPr>
            </w:pPr>
            <w:r>
              <w:rPr>
                <w:rFonts w:cs="Times New Roman"/>
                <w:b/>
                <w:bCs/>
                <w:sz w:val="20"/>
                <w:szCs w:val="20"/>
              </w:rPr>
              <w:t>Valor Total (R$)</w:t>
            </w:r>
          </w:p>
        </w:tc>
      </w:tr>
      <w:tr w:rsidR="006E645F" w:rsidRPr="00785FA8" w14:paraId="3D56832B" w14:textId="64636CE8" w:rsidTr="006E645F">
        <w:tc>
          <w:tcPr>
            <w:tcW w:w="751" w:type="dxa"/>
          </w:tcPr>
          <w:p w14:paraId="7EE5C1E3" w14:textId="09C68DE6" w:rsidR="006E645F" w:rsidRPr="00785FA8" w:rsidRDefault="00347832" w:rsidP="00B05E79">
            <w:pPr>
              <w:rPr>
                <w:rFonts w:cs="Times New Roman"/>
                <w:sz w:val="20"/>
                <w:szCs w:val="20"/>
              </w:rPr>
            </w:pPr>
            <w:r>
              <w:rPr>
                <w:rFonts w:cs="Times New Roman"/>
                <w:sz w:val="20"/>
                <w:szCs w:val="20"/>
              </w:rPr>
              <w:t>1</w:t>
            </w:r>
          </w:p>
        </w:tc>
        <w:tc>
          <w:tcPr>
            <w:tcW w:w="1267" w:type="dxa"/>
          </w:tcPr>
          <w:p w14:paraId="4F4C1CA5" w14:textId="068C6242" w:rsidR="006E645F" w:rsidRPr="00785FA8" w:rsidRDefault="006E645F" w:rsidP="00B05E79">
            <w:pPr>
              <w:rPr>
                <w:rFonts w:cs="Times New Roman"/>
                <w:sz w:val="20"/>
                <w:szCs w:val="20"/>
              </w:rPr>
            </w:pPr>
            <w:r w:rsidRPr="00785FA8">
              <w:rPr>
                <w:rFonts w:cs="Times New Roman"/>
                <w:sz w:val="20"/>
                <w:szCs w:val="20"/>
              </w:rPr>
              <w:t>Contêiner ou Conte</w:t>
            </w:r>
            <w:r w:rsidR="008A0B86">
              <w:rPr>
                <w:rFonts w:cs="Times New Roman"/>
                <w:sz w:val="20"/>
                <w:szCs w:val="20"/>
              </w:rPr>
              <w:t>n</w:t>
            </w:r>
            <w:r w:rsidRPr="00785FA8">
              <w:rPr>
                <w:rFonts w:cs="Times New Roman"/>
                <w:sz w:val="20"/>
                <w:szCs w:val="20"/>
              </w:rPr>
              <w:t>tor Metálico</w:t>
            </w:r>
          </w:p>
        </w:tc>
        <w:tc>
          <w:tcPr>
            <w:tcW w:w="2951" w:type="dxa"/>
          </w:tcPr>
          <w:p w14:paraId="35F3D775" w14:textId="77777777" w:rsidR="006E645F" w:rsidRPr="00785FA8" w:rsidRDefault="006E645F" w:rsidP="00B05E79">
            <w:pPr>
              <w:rPr>
                <w:rFonts w:cs="Times New Roman"/>
                <w:sz w:val="20"/>
                <w:szCs w:val="20"/>
              </w:rPr>
            </w:pPr>
            <w:r w:rsidRPr="00785FA8">
              <w:rPr>
                <w:rFonts w:cs="Times New Roman"/>
                <w:sz w:val="20"/>
                <w:szCs w:val="20"/>
              </w:rPr>
              <w:t>- Contentor de Lixo, corpo metálico; com capacidade de 1200 litros; modelo fabricado de acordo com a norma técnica NBR 13334, da Associação Brasileira de Normas Técnicas (ABNT</w:t>
            </w:r>
            <w:proofErr w:type="gramStart"/>
            <w:r w:rsidRPr="00785FA8">
              <w:rPr>
                <w:rFonts w:cs="Times New Roman"/>
                <w:sz w:val="20"/>
                <w:szCs w:val="20"/>
              </w:rPr>
              <w:t>);Com</w:t>
            </w:r>
            <w:proofErr w:type="gramEnd"/>
            <w:r w:rsidRPr="00785FA8">
              <w:rPr>
                <w:rFonts w:cs="Times New Roman"/>
                <w:sz w:val="20"/>
                <w:szCs w:val="20"/>
              </w:rPr>
              <w:t xml:space="preserve"> dreno no assoalho </w:t>
            </w:r>
            <w:r w:rsidRPr="00785FA8">
              <w:rPr>
                <w:rFonts w:cs="Times New Roman"/>
                <w:sz w:val="20"/>
                <w:szCs w:val="20"/>
              </w:rPr>
              <w:lastRenderedPageBreak/>
              <w:t>para escoamento de líquido.</w:t>
            </w:r>
          </w:p>
          <w:p w14:paraId="669D8476" w14:textId="77777777" w:rsidR="006E645F" w:rsidRPr="00785FA8" w:rsidRDefault="006E645F" w:rsidP="00B05E79">
            <w:pPr>
              <w:rPr>
                <w:rFonts w:cs="Times New Roman"/>
                <w:sz w:val="20"/>
                <w:szCs w:val="20"/>
              </w:rPr>
            </w:pPr>
          </w:p>
          <w:p w14:paraId="43EF7E5B" w14:textId="77777777" w:rsidR="006E645F" w:rsidRPr="00785FA8" w:rsidRDefault="006E645F" w:rsidP="00B05E79">
            <w:pPr>
              <w:rPr>
                <w:rFonts w:cs="Times New Roman"/>
                <w:sz w:val="20"/>
                <w:szCs w:val="20"/>
              </w:rPr>
            </w:pPr>
            <w:r w:rsidRPr="00785FA8">
              <w:rPr>
                <w:rFonts w:cs="Times New Roman"/>
                <w:sz w:val="20"/>
                <w:szCs w:val="20"/>
              </w:rPr>
              <w:t xml:space="preserve">- Pintura na lataria com a palavra “indiferenciado” </w:t>
            </w:r>
          </w:p>
          <w:p w14:paraId="55CF3A94" w14:textId="77777777" w:rsidR="006E645F" w:rsidRPr="00785FA8" w:rsidRDefault="006E645F" w:rsidP="00B05E79">
            <w:pPr>
              <w:rPr>
                <w:rFonts w:cs="Times New Roman"/>
                <w:sz w:val="20"/>
                <w:szCs w:val="20"/>
              </w:rPr>
            </w:pPr>
          </w:p>
          <w:p w14:paraId="0A073196" w14:textId="52A24442" w:rsidR="006E645F" w:rsidRPr="00785FA8" w:rsidRDefault="006E645F" w:rsidP="00B05E79">
            <w:pPr>
              <w:rPr>
                <w:rFonts w:cs="Times New Roman"/>
                <w:sz w:val="20"/>
                <w:szCs w:val="20"/>
              </w:rPr>
            </w:pPr>
            <w:r w:rsidRPr="00785FA8">
              <w:rPr>
                <w:rFonts w:cs="Times New Roman"/>
                <w:sz w:val="20"/>
                <w:szCs w:val="20"/>
              </w:rPr>
              <w:t xml:space="preserve">- Fabricado em chapa de aço SAE 1045 ou 1020; modelo com duas tampas articuladas com porta cadeados ou similar; </w:t>
            </w:r>
            <w:proofErr w:type="spellStart"/>
            <w:r w:rsidRPr="00785FA8">
              <w:rPr>
                <w:rFonts w:cs="Times New Roman"/>
                <w:sz w:val="20"/>
                <w:szCs w:val="20"/>
              </w:rPr>
              <w:t>munhões</w:t>
            </w:r>
            <w:proofErr w:type="spellEnd"/>
            <w:r w:rsidRPr="00785FA8">
              <w:rPr>
                <w:rFonts w:cs="Times New Roman"/>
                <w:sz w:val="20"/>
                <w:szCs w:val="20"/>
              </w:rPr>
              <w:t xml:space="preserve"> em aço reforçado (barras maciças laterais para contato com caminhões de coleta); equipado com 4 rodízios giratórios 6x3 de ferro revestido de borracha maciça (Para melhor absorver ao impacto); sistema deslizante e </w:t>
            </w:r>
            <w:proofErr w:type="spellStart"/>
            <w:r w:rsidRPr="00785FA8">
              <w:rPr>
                <w:rFonts w:cs="Times New Roman"/>
                <w:sz w:val="20"/>
                <w:szCs w:val="20"/>
              </w:rPr>
              <w:t>freiosem</w:t>
            </w:r>
            <w:proofErr w:type="spellEnd"/>
            <w:r w:rsidRPr="00785FA8">
              <w:rPr>
                <w:rFonts w:cs="Times New Roman"/>
                <w:sz w:val="20"/>
                <w:szCs w:val="20"/>
              </w:rPr>
              <w:t xml:space="preserve"> duas rodas; abertura no fundo para escoamento de líquidos, com caída de aproximadamente 3 cm; estrutura tratada com material antiferrugem.</w:t>
            </w:r>
          </w:p>
          <w:p w14:paraId="5105F798" w14:textId="77777777" w:rsidR="006E645F" w:rsidRPr="00785FA8" w:rsidRDefault="006E645F" w:rsidP="00B05E79">
            <w:pPr>
              <w:rPr>
                <w:rFonts w:cs="Times New Roman"/>
                <w:sz w:val="20"/>
                <w:szCs w:val="20"/>
              </w:rPr>
            </w:pPr>
          </w:p>
          <w:p w14:paraId="6CF87395" w14:textId="77777777" w:rsidR="006E645F" w:rsidRPr="00785FA8" w:rsidRDefault="006E645F" w:rsidP="00B05E79">
            <w:pPr>
              <w:rPr>
                <w:rFonts w:cs="Times New Roman"/>
                <w:sz w:val="20"/>
                <w:szCs w:val="20"/>
              </w:rPr>
            </w:pPr>
            <w:r w:rsidRPr="00785FA8">
              <w:rPr>
                <w:rFonts w:cs="Times New Roman"/>
                <w:sz w:val="20"/>
                <w:szCs w:val="20"/>
              </w:rPr>
              <w:t>- Medidas aproximadas:</w:t>
            </w:r>
          </w:p>
          <w:p w14:paraId="12771484" w14:textId="77777777" w:rsidR="006E645F" w:rsidRPr="00785FA8" w:rsidRDefault="006E645F" w:rsidP="00B05E79">
            <w:pPr>
              <w:rPr>
                <w:rFonts w:cs="Times New Roman"/>
                <w:sz w:val="20"/>
                <w:szCs w:val="20"/>
              </w:rPr>
            </w:pPr>
            <w:r w:rsidRPr="00785FA8">
              <w:rPr>
                <w:rFonts w:cs="Times New Roman"/>
                <w:sz w:val="20"/>
                <w:szCs w:val="20"/>
              </w:rPr>
              <w:t>Comprimento:196 a 199cm</w:t>
            </w:r>
          </w:p>
          <w:p w14:paraId="7D5AC951" w14:textId="77777777" w:rsidR="006E645F" w:rsidRPr="00785FA8" w:rsidRDefault="006E645F" w:rsidP="00B05E79">
            <w:pPr>
              <w:rPr>
                <w:rFonts w:cs="Times New Roman"/>
                <w:sz w:val="20"/>
                <w:szCs w:val="20"/>
              </w:rPr>
            </w:pPr>
            <w:r w:rsidRPr="00785FA8">
              <w:rPr>
                <w:rFonts w:cs="Times New Roman"/>
                <w:sz w:val="20"/>
                <w:szCs w:val="20"/>
              </w:rPr>
              <w:t>Largura:92 a 99 cm</w:t>
            </w:r>
          </w:p>
          <w:p w14:paraId="1EEA1F90" w14:textId="77777777" w:rsidR="006E645F" w:rsidRPr="00785FA8" w:rsidRDefault="006E645F" w:rsidP="00B05E79">
            <w:pPr>
              <w:rPr>
                <w:rFonts w:cs="Times New Roman"/>
                <w:sz w:val="20"/>
                <w:szCs w:val="20"/>
              </w:rPr>
            </w:pPr>
            <w:r w:rsidRPr="00785FA8">
              <w:rPr>
                <w:rFonts w:cs="Times New Roman"/>
                <w:sz w:val="20"/>
                <w:szCs w:val="20"/>
              </w:rPr>
              <w:t>Altura:116 a 120 cm</w:t>
            </w:r>
          </w:p>
          <w:p w14:paraId="16C9A9F6" w14:textId="77777777" w:rsidR="006E645F" w:rsidRPr="00785FA8" w:rsidRDefault="006E645F" w:rsidP="00B05E79">
            <w:pPr>
              <w:rPr>
                <w:rFonts w:cs="Times New Roman"/>
                <w:sz w:val="20"/>
                <w:szCs w:val="20"/>
              </w:rPr>
            </w:pPr>
          </w:p>
          <w:p w14:paraId="518A0341" w14:textId="77777777" w:rsidR="006E645F" w:rsidRPr="00785FA8" w:rsidRDefault="006E645F" w:rsidP="00B05E79">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tc>
        <w:tc>
          <w:tcPr>
            <w:tcW w:w="894" w:type="dxa"/>
          </w:tcPr>
          <w:p w14:paraId="36ABB9FE" w14:textId="77777777" w:rsidR="006E645F" w:rsidRPr="00785FA8" w:rsidRDefault="006E645F" w:rsidP="00B05E79">
            <w:pPr>
              <w:rPr>
                <w:rFonts w:cs="Times New Roman"/>
                <w:sz w:val="20"/>
                <w:szCs w:val="20"/>
              </w:rPr>
            </w:pPr>
            <w:r w:rsidRPr="00785FA8">
              <w:rPr>
                <w:rFonts w:cs="Times New Roman"/>
                <w:sz w:val="20"/>
                <w:szCs w:val="20"/>
              </w:rPr>
              <w:lastRenderedPageBreak/>
              <w:t>Unidade</w:t>
            </w:r>
          </w:p>
        </w:tc>
        <w:tc>
          <w:tcPr>
            <w:tcW w:w="1599" w:type="dxa"/>
          </w:tcPr>
          <w:p w14:paraId="750B15E5" w14:textId="77777777" w:rsidR="006E645F" w:rsidRPr="00785FA8" w:rsidRDefault="006E645F" w:rsidP="00B05E79">
            <w:pPr>
              <w:rPr>
                <w:rFonts w:cs="Times New Roman"/>
                <w:sz w:val="20"/>
                <w:szCs w:val="20"/>
              </w:rPr>
            </w:pPr>
            <w:r w:rsidRPr="00785FA8">
              <w:rPr>
                <w:rFonts w:cs="Times New Roman"/>
                <w:sz w:val="20"/>
                <w:szCs w:val="20"/>
              </w:rPr>
              <w:t>01 unidade, na cor cinza, com a pintura “indiferenciado”.</w:t>
            </w:r>
          </w:p>
          <w:p w14:paraId="4553DD1D" w14:textId="77777777" w:rsidR="006E645F" w:rsidRPr="00785FA8" w:rsidRDefault="006E645F" w:rsidP="00B05E79">
            <w:pPr>
              <w:rPr>
                <w:rFonts w:cs="Times New Roman"/>
                <w:sz w:val="20"/>
                <w:szCs w:val="20"/>
              </w:rPr>
            </w:pPr>
          </w:p>
        </w:tc>
        <w:tc>
          <w:tcPr>
            <w:tcW w:w="1043" w:type="dxa"/>
          </w:tcPr>
          <w:p w14:paraId="2F016138" w14:textId="03E14C18" w:rsidR="006E645F" w:rsidRPr="00785FA8" w:rsidRDefault="00C02798" w:rsidP="00B05E79">
            <w:pPr>
              <w:rPr>
                <w:rFonts w:cs="Times New Roman"/>
                <w:sz w:val="20"/>
                <w:szCs w:val="20"/>
              </w:rPr>
            </w:pPr>
            <w:r>
              <w:rPr>
                <w:rFonts w:cs="Times New Roman"/>
                <w:sz w:val="20"/>
                <w:szCs w:val="20"/>
              </w:rPr>
              <w:t>3.600,00</w:t>
            </w:r>
          </w:p>
        </w:tc>
        <w:tc>
          <w:tcPr>
            <w:tcW w:w="1128" w:type="dxa"/>
          </w:tcPr>
          <w:p w14:paraId="5555F8FD" w14:textId="2C75D862" w:rsidR="006E645F" w:rsidRPr="00785FA8" w:rsidRDefault="00C02798" w:rsidP="00B05E79">
            <w:pPr>
              <w:rPr>
                <w:rFonts w:cs="Times New Roman"/>
                <w:sz w:val="20"/>
                <w:szCs w:val="20"/>
              </w:rPr>
            </w:pPr>
            <w:r>
              <w:rPr>
                <w:rFonts w:cs="Times New Roman"/>
                <w:sz w:val="20"/>
                <w:szCs w:val="20"/>
              </w:rPr>
              <w:t>3.600,00</w:t>
            </w:r>
          </w:p>
        </w:tc>
      </w:tr>
    </w:tbl>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 xml:space="preserve">Constatado o atendimento às exigências fixadas no Edital, após a habilitação e julgamento de recursos, o objeto será adjudicado ao autor da proposta ou lance de menor preço, e o </w:t>
      </w:r>
      <w:r>
        <w:rPr>
          <w:rFonts w:eastAsia="Arial" w:cs="Arial"/>
          <w:sz w:val="24"/>
          <w:szCs w:val="24"/>
        </w:rPr>
        <w:lastRenderedPageBreak/>
        <w:t>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lastRenderedPageBreak/>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52CD27FD" w14:textId="69F90032" w:rsidR="00074570" w:rsidRDefault="00074570">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.2 Declaração de Garantia e Assistência Técnica</w:t>
      </w:r>
      <w:r w:rsidR="009A1EA5">
        <w:rPr>
          <w:rFonts w:ascii="Times New Roman" w:eastAsia="Times New Roman" w:hAnsi="Times New Roman" w:cs="Times New Roman"/>
          <w:color w:val="000000"/>
          <w:sz w:val="24"/>
          <w:szCs w:val="24"/>
        </w:rPr>
        <w:t xml:space="preserve"> (anexo IV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08ECA3C1"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2229FCF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8F73C7">
        <w:rPr>
          <w:rFonts w:ascii="Times New Roman" w:hAnsi="Times New Roman" w:cs="Times New Roman"/>
          <w:sz w:val="24"/>
          <w:szCs w:val="24"/>
        </w:rPr>
        <w:t>4</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8F73C7">
        <w:rPr>
          <w:rFonts w:ascii="Times New Roman" w:hAnsi="Times New Roman" w:cs="Times New Roman"/>
          <w:sz w:val="24"/>
          <w:szCs w:val="24"/>
        </w:rPr>
        <w:t>5</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 xml:space="preserve">.2 Da mesma forma, a Adjudicatária deverá indicar um preposto </w:t>
      </w:r>
      <w:proofErr w:type="gramStart"/>
      <w:r w:rsidRPr="015FCCE1">
        <w:rPr>
          <w:sz w:val="24"/>
          <w:szCs w:val="24"/>
        </w:rPr>
        <w:t>para, se</w:t>
      </w:r>
      <w:proofErr w:type="gramEnd"/>
      <w:r w:rsidRPr="015FCCE1">
        <w:rPr>
          <w:sz w:val="24"/>
          <w:szCs w:val="24"/>
        </w:rPr>
        <w:t xml:space="preserv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1F48DA43" w14:textId="630C9EBC"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 despesas com a execução do presente Contrato correrão à conta d</w:t>
      </w:r>
      <w:r w:rsidR="00127FCD">
        <w:rPr>
          <w:color w:val="000000"/>
        </w:rPr>
        <w:t>o</w:t>
      </w:r>
      <w:r>
        <w:rPr>
          <w:color w:val="000000"/>
        </w:rPr>
        <w:t xml:space="preserve"> Programa controle da atuação administrativa e financeira do Ministério Público, Natureza</w:t>
      </w:r>
      <w:r w:rsidR="00731EA1">
        <w:rPr>
          <w:color w:val="000000"/>
        </w:rPr>
        <w:t>s</w:t>
      </w:r>
      <w:r>
        <w:rPr>
          <w:color w:val="000000"/>
        </w:rPr>
        <w:t xml:space="preserve"> de Despesa</w:t>
      </w:r>
      <w:r w:rsidR="00731EA1">
        <w:rPr>
          <w:color w:val="000000"/>
        </w:rPr>
        <w:t>:</w:t>
      </w:r>
      <w:r w:rsidR="00DF2EB2">
        <w:rPr>
          <w:color w:val="000000"/>
        </w:rPr>
        <w:t xml:space="preserve"> </w:t>
      </w:r>
      <w:r w:rsidR="009B4ECC">
        <w:rPr>
          <w:color w:val="000000"/>
        </w:rPr>
        <w:t>44.90.52-</w:t>
      </w:r>
      <w:r w:rsidR="00362474">
        <w:rPr>
          <w:color w:val="000000"/>
        </w:rPr>
        <w:t>00</w:t>
      </w:r>
      <w:r w:rsidR="00C145A9">
        <w:rPr>
          <w:color w:val="000000"/>
        </w:rPr>
        <w:t>,</w:t>
      </w:r>
      <w:r w:rsidR="00F853DE">
        <w:rPr>
          <w:rFonts w:asciiTheme="minorHAnsi" w:hAnsiTheme="minorHAnsi" w:cstheme="minorHAnsi"/>
          <w:color w:val="000000"/>
          <w:sz w:val="20"/>
          <w:szCs w:val="20"/>
        </w:rPr>
        <w:t xml:space="preserve"> </w:t>
      </w:r>
      <w:r>
        <w:rPr>
          <w:color w:val="000000"/>
        </w:rPr>
        <w:t>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6F48B99E"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6B1FE4">
        <w:rPr>
          <w:rFonts w:cs="Trebuchet MS"/>
        </w:rPr>
        <w:t>3</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lastRenderedPageBreak/>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r w:rsidRPr="015FCCE1">
          <w:rPr>
            <w:rStyle w:val="Internetlink"/>
            <w:sz w:val="24"/>
            <w:szCs w:val="24"/>
          </w:rPr>
          <w:t>www.comprasgovernamentais.gov.br</w:t>
        </w:r>
      </w:hyperlink>
      <w:r w:rsidRPr="015FCCE1">
        <w:rPr>
          <w:sz w:val="24"/>
          <w:szCs w:val="24"/>
        </w:rPr>
        <w:t xml:space="preserve"> e </w:t>
      </w:r>
      <w:hyperlink r:id="rId21">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lastRenderedPageBreak/>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w:t>
      </w:r>
      <w:proofErr w:type="gramStart"/>
      <w:r w:rsidRPr="015FCCE1">
        <w:rPr>
          <w:sz w:val="24"/>
          <w:szCs w:val="24"/>
        </w:rPr>
        <w:t>dirimidas</w:t>
      </w:r>
      <w:proofErr w:type="gramEnd"/>
      <w:r w:rsidRPr="015FCCE1">
        <w:rPr>
          <w:sz w:val="24"/>
          <w:szCs w:val="24"/>
        </w:rPr>
        <w:t xml:space="preserve"> pelo Pregoeiro através do correio eletrônico </w:t>
      </w:r>
      <w:hyperlink r:id="rId22"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5AE9474C" w14:textId="77777777" w:rsidR="002E237B" w:rsidRDefault="002E237B" w:rsidP="002E237B">
      <w:pPr>
        <w:pStyle w:val="Standard"/>
        <w:tabs>
          <w:tab w:val="left" w:pos="360"/>
        </w:tabs>
        <w:spacing w:line="360" w:lineRule="auto"/>
        <w:ind w:firstLine="1417"/>
        <w:jc w:val="both"/>
      </w:pPr>
    </w:p>
    <w:p w14:paraId="426124B2" w14:textId="21589880"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00699E">
        <w:rPr>
          <w:sz w:val="24"/>
          <w:szCs w:val="24"/>
        </w:rPr>
        <w:t>2</w:t>
      </w:r>
      <w:r>
        <w:rPr>
          <w:sz w:val="24"/>
          <w:szCs w:val="24"/>
        </w:rPr>
        <w:t>.</w:t>
      </w:r>
    </w:p>
    <w:p w14:paraId="23C9A4B2" w14:textId="77777777" w:rsidR="002E237B" w:rsidRDefault="002E237B" w:rsidP="002E237B">
      <w:pPr>
        <w:pStyle w:val="Standard"/>
        <w:spacing w:line="360" w:lineRule="auto"/>
        <w:jc w:val="center"/>
        <w:rPr>
          <w:b/>
          <w:sz w:val="24"/>
          <w:szCs w:val="24"/>
          <w:u w:val="double"/>
        </w:rPr>
      </w:pP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p>
    <w:p w14:paraId="0B09F94C" w14:textId="6B9F9868"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3C2FE6">
        <w:rPr>
          <w:b/>
          <w:sz w:val="24"/>
          <w:szCs w:val="24"/>
          <w:u w:val="single"/>
        </w:rPr>
        <w:t>22</w:t>
      </w:r>
      <w:r w:rsidR="00F87211">
        <w:rPr>
          <w:b/>
          <w:sz w:val="24"/>
          <w:szCs w:val="24"/>
          <w:u w:val="single"/>
        </w:rPr>
        <w:t>/202</w:t>
      </w:r>
      <w:r w:rsidR="007B75EA">
        <w:rPr>
          <w:b/>
          <w:sz w:val="24"/>
          <w:szCs w:val="24"/>
          <w:u w:val="single"/>
        </w:rPr>
        <w:t>2</w:t>
      </w:r>
    </w:p>
    <w:p w14:paraId="6C059424" w14:textId="77777777" w:rsidR="006163E8" w:rsidRDefault="006163E8">
      <w:pPr>
        <w:pStyle w:val="Standard"/>
        <w:spacing w:line="360" w:lineRule="auto"/>
        <w:jc w:val="center"/>
      </w:pPr>
      <w:r>
        <w:rPr>
          <w:b/>
          <w:sz w:val="24"/>
          <w:szCs w:val="24"/>
          <w:u w:val="single"/>
        </w:rPr>
        <w:t>MODALIDADE – PREGÃO ELETRÔNICO</w:t>
      </w:r>
    </w:p>
    <w:p w14:paraId="6FD60583" w14:textId="77777777" w:rsidR="007B75EA" w:rsidRPr="007B75EA" w:rsidRDefault="006163E8">
      <w:pPr>
        <w:pStyle w:val="Standard"/>
        <w:spacing w:line="360" w:lineRule="auto"/>
        <w:jc w:val="center"/>
        <w:rPr>
          <w:b/>
          <w:sz w:val="24"/>
          <w:szCs w:val="24"/>
          <w:u w:val="single"/>
        </w:rPr>
      </w:pPr>
      <w:r w:rsidRPr="007B75EA">
        <w:rPr>
          <w:b/>
          <w:sz w:val="24"/>
          <w:szCs w:val="24"/>
          <w:u w:val="single"/>
        </w:rPr>
        <w:t xml:space="preserve">SEI </w:t>
      </w:r>
      <w:r w:rsidR="007B75EA" w:rsidRPr="007B75EA">
        <w:rPr>
          <w:b/>
          <w:sz w:val="24"/>
          <w:szCs w:val="24"/>
          <w:u w:val="single"/>
        </w:rPr>
        <w:t>19.00.6150.0002127/2022-06</w:t>
      </w:r>
    </w:p>
    <w:p w14:paraId="148FAB4B" w14:textId="7D42341C"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1375D6FB" w14:textId="77777777" w:rsidR="00F91EEB" w:rsidRPr="004352D2" w:rsidRDefault="00F91EEB" w:rsidP="00F91EEB">
      <w:pPr>
        <w:spacing w:line="360" w:lineRule="auto"/>
        <w:ind w:firstLine="709"/>
        <w:jc w:val="center"/>
        <w:rPr>
          <w:rFonts w:eastAsia="Times New Roman" w:cs="Times New Roman"/>
          <w:b/>
          <w:bCs/>
          <w:caps/>
          <w:lang w:eastAsia="pt-BR"/>
        </w:rPr>
      </w:pPr>
    </w:p>
    <w:p w14:paraId="2AC5116F" w14:textId="77777777" w:rsidR="00F91EEB" w:rsidRPr="000F4779" w:rsidRDefault="00F91EEB" w:rsidP="00F91EEB">
      <w:pPr>
        <w:pStyle w:val="PargrafodaLista"/>
        <w:numPr>
          <w:ilvl w:val="0"/>
          <w:numId w:val="133"/>
        </w:numPr>
        <w:shd w:val="clear" w:color="auto" w:fill="E6E6E6"/>
        <w:suppressAutoHyphens w:val="0"/>
        <w:spacing w:after="240"/>
        <w:ind w:left="0" w:firstLine="709"/>
        <w:contextualSpacing/>
        <w:jc w:val="both"/>
        <w:textAlignment w:val="auto"/>
        <w:rPr>
          <w:rFonts w:eastAsia="Times New Roman" w:cs="Times New Roman"/>
          <w:b/>
          <w:bCs/>
          <w:caps/>
          <w:color w:val="000000"/>
          <w:sz w:val="24"/>
          <w:szCs w:val="24"/>
          <w:lang w:eastAsia="pt-BR"/>
        </w:rPr>
      </w:pPr>
      <w:r w:rsidRPr="000F4779">
        <w:rPr>
          <w:rFonts w:eastAsia="Times New Roman" w:cs="Times New Roman"/>
          <w:b/>
          <w:bCs/>
          <w:caps/>
          <w:color w:val="000000"/>
          <w:sz w:val="24"/>
          <w:szCs w:val="24"/>
          <w:lang w:eastAsia="pt-BR"/>
        </w:rPr>
        <w:t>OBJETO</w:t>
      </w:r>
    </w:p>
    <w:p w14:paraId="653A9648" w14:textId="77777777" w:rsidR="00F91EEB" w:rsidRPr="006E02E5"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eastAsia="Times New Roman" w:cs="Times New Roman"/>
          <w:color w:val="000000"/>
          <w:sz w:val="24"/>
          <w:szCs w:val="24"/>
          <w:lang w:eastAsia="pt-BR"/>
        </w:rPr>
        <w:t>Aquisição de contê</w:t>
      </w:r>
      <w:r w:rsidRPr="001B5452">
        <w:rPr>
          <w:rFonts w:eastAsia="Times New Roman" w:cs="Times New Roman"/>
          <w:color w:val="000000"/>
          <w:sz w:val="24"/>
          <w:szCs w:val="24"/>
          <w:lang w:eastAsia="pt-BR"/>
        </w:rPr>
        <w:t>iner</w:t>
      </w:r>
      <w:r>
        <w:rPr>
          <w:rFonts w:eastAsia="Times New Roman" w:cs="Times New Roman"/>
          <w:color w:val="000000"/>
          <w:sz w:val="24"/>
          <w:szCs w:val="24"/>
          <w:lang w:eastAsia="pt-BR"/>
        </w:rPr>
        <w:t xml:space="preserve"> para depósito de resíduos</w:t>
      </w:r>
      <w:r w:rsidRPr="004A4E09">
        <w:rPr>
          <w:rFonts w:eastAsia="Times New Roman" w:cs="Times New Roman"/>
          <w:color w:val="000000"/>
          <w:sz w:val="24"/>
          <w:szCs w:val="24"/>
          <w:lang w:eastAsia="pt-BR"/>
        </w:rPr>
        <w:t xml:space="preserve">, conforme </w:t>
      </w:r>
      <w:r>
        <w:rPr>
          <w:rFonts w:eastAsia="Times New Roman" w:cs="Times New Roman"/>
          <w:color w:val="000000"/>
          <w:sz w:val="24"/>
          <w:szCs w:val="24"/>
          <w:lang w:eastAsia="pt-BR"/>
        </w:rPr>
        <w:t>especificações</w:t>
      </w:r>
      <w:r w:rsidRPr="004A4E09">
        <w:rPr>
          <w:rFonts w:eastAsia="Times New Roman" w:cs="Times New Roman"/>
          <w:color w:val="000000"/>
          <w:sz w:val="24"/>
          <w:szCs w:val="24"/>
          <w:lang w:eastAsia="pt-BR"/>
        </w:rPr>
        <w:t>, quantidades e demais condições constantes deste Termo de Referência, para atender às necessidades do Conselho Nacional do Ministério Público</w:t>
      </w:r>
      <w:r>
        <w:rPr>
          <w:rFonts w:eastAsia="Times New Roman" w:cs="Times New Roman"/>
          <w:color w:val="000000"/>
          <w:sz w:val="24"/>
          <w:szCs w:val="24"/>
          <w:lang w:eastAsia="pt-BR"/>
        </w:rPr>
        <w:t xml:space="preserve"> (CNMP)</w:t>
      </w:r>
      <w:r w:rsidRPr="004A4E09">
        <w:rPr>
          <w:rFonts w:eastAsia="Times New Roman" w:cs="Times New Roman"/>
          <w:color w:val="000000"/>
          <w:sz w:val="24"/>
          <w:szCs w:val="24"/>
          <w:lang w:eastAsia="pt-BR"/>
        </w:rPr>
        <w:t>.</w:t>
      </w:r>
    </w:p>
    <w:p w14:paraId="13A42286"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b/>
          <w:bCs/>
          <w:caps/>
          <w:color w:val="000000"/>
          <w:sz w:val="24"/>
          <w:szCs w:val="24"/>
          <w:lang w:eastAsia="pt-BR"/>
        </w:rPr>
      </w:pPr>
      <w:r w:rsidRPr="000F4779">
        <w:rPr>
          <w:rFonts w:eastAsia="Times New Roman" w:cs="Times New Roman"/>
          <w:b/>
          <w:bCs/>
          <w:caps/>
          <w:color w:val="000000"/>
          <w:sz w:val="24"/>
          <w:szCs w:val="24"/>
          <w:lang w:eastAsia="pt-BR"/>
        </w:rPr>
        <w:t>JUSTIFICATIVA</w:t>
      </w:r>
    </w:p>
    <w:p w14:paraId="1ACD2468" w14:textId="77777777" w:rsidR="00F91EEB" w:rsidRPr="004607A5"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4607A5">
        <w:rPr>
          <w:rFonts w:eastAsia="Times New Roman" w:cs="Times New Roman"/>
          <w:color w:val="000000"/>
          <w:sz w:val="24"/>
          <w:szCs w:val="24"/>
          <w:lang w:eastAsia="pt-BR"/>
        </w:rPr>
        <w:t>Conforme processo SEI n° 19.00.6150.0009357/2020-63, foi realizado estudo para adequação de obrigatoriedades impostas pela Portaria nº 280/2020 do Ministério do Meio Ambiente. Foi constatado, conforme informações da área técnica (documentos 0597172, 0602851 e 0603629), a necessidade de aquisição de contêiner.</w:t>
      </w:r>
    </w:p>
    <w:p w14:paraId="4AFA6653" w14:textId="77777777" w:rsidR="00F91EEB"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4607A5">
        <w:rPr>
          <w:rFonts w:eastAsia="Times New Roman" w:cs="Times New Roman"/>
          <w:color w:val="000000"/>
          <w:sz w:val="24"/>
          <w:szCs w:val="24"/>
          <w:lang w:eastAsia="pt-BR"/>
        </w:rPr>
        <w:t>Ademais, a aquisição de contêiner visa a complementação do quantitativo dos equipamentos disponíveis, permitindo a manutenção da sua disponibilidade no atendimento regular e ininterrupto das demandas dos serviços no Conselho Nacional do Ministério Público.</w:t>
      </w:r>
    </w:p>
    <w:p w14:paraId="03344F01" w14:textId="77777777" w:rsidR="00F91EEB" w:rsidRPr="00E26793" w:rsidRDefault="00F91EEB" w:rsidP="00F91EEB">
      <w:pPr>
        <w:pStyle w:val="PargrafodaLista"/>
        <w:numPr>
          <w:ilvl w:val="1"/>
          <w:numId w:val="133"/>
        </w:numPr>
        <w:suppressAutoHyphens w:val="0"/>
        <w:spacing w:line="360" w:lineRule="auto"/>
        <w:ind w:left="0" w:firstLine="709"/>
        <w:contextualSpacing/>
        <w:jc w:val="both"/>
        <w:textAlignment w:val="auto"/>
        <w:rPr>
          <w:rFonts w:eastAsiaTheme="minorEastAsia"/>
          <w:sz w:val="24"/>
          <w:szCs w:val="24"/>
          <w:lang w:eastAsia="pt-BR"/>
        </w:rPr>
      </w:pPr>
      <w:r w:rsidRPr="00E26793">
        <w:rPr>
          <w:rFonts w:eastAsia="Times New Roman" w:cs="Times New Roman"/>
          <w:sz w:val="24"/>
          <w:szCs w:val="24"/>
          <w:lang w:eastAsia="pt-BR"/>
        </w:rPr>
        <w:t xml:space="preserve">Informamos, ainda, que a presente contratação </w:t>
      </w:r>
      <w:proofErr w:type="gramStart"/>
      <w:r w:rsidRPr="00E26793">
        <w:rPr>
          <w:rFonts w:eastAsia="Times New Roman" w:cs="Times New Roman"/>
          <w:sz w:val="24"/>
          <w:szCs w:val="24"/>
          <w:lang w:eastAsia="pt-BR"/>
        </w:rPr>
        <w:t>encontra-se</w:t>
      </w:r>
      <w:proofErr w:type="gramEnd"/>
      <w:r w:rsidRPr="00E26793">
        <w:rPr>
          <w:rFonts w:eastAsia="Times New Roman" w:cs="Times New Roman"/>
          <w:sz w:val="24"/>
          <w:szCs w:val="24"/>
          <w:lang w:eastAsia="pt-BR"/>
        </w:rPr>
        <w:t xml:space="preserve"> prevista na PORTARIA CNMP-PRESI Nº 272, de 20 de dezembro de 2021 – Plano de Gestão para o exercício de 2022, vinculada à ação PG_22_COGBS_001 - Equipamentos relacionados aos resíduos sólidos gerados pelo CNMP</w:t>
      </w:r>
      <w:r>
        <w:rPr>
          <w:rFonts w:eastAsia="Times New Roman" w:cs="Times New Roman"/>
          <w:sz w:val="24"/>
          <w:szCs w:val="24"/>
          <w:lang w:eastAsia="pt-BR"/>
        </w:rPr>
        <w:t>.</w:t>
      </w:r>
    </w:p>
    <w:p w14:paraId="08C78C78" w14:textId="77777777" w:rsidR="00F91EEB" w:rsidRPr="008A2360" w:rsidRDefault="00F91EEB" w:rsidP="00F91EEB">
      <w:pPr>
        <w:pStyle w:val="PargrafodaLista"/>
        <w:numPr>
          <w:ilvl w:val="0"/>
          <w:numId w:val="133"/>
        </w:numPr>
        <w:shd w:val="clear" w:color="auto" w:fill="E6E6E6"/>
        <w:suppressAutoHyphens w:val="0"/>
        <w:spacing w:before="240" w:after="24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DESCRIÇÃO DO OBJETO</w:t>
      </w:r>
    </w:p>
    <w:p w14:paraId="6A64866D" w14:textId="77777777" w:rsidR="00F91EEB" w:rsidRPr="0025127C" w:rsidRDefault="00F91EEB" w:rsidP="00F91EEB">
      <w:pPr>
        <w:pStyle w:val="PargrafodaLista"/>
        <w:numPr>
          <w:ilvl w:val="1"/>
          <w:numId w:val="133"/>
        </w:numPr>
        <w:suppressAutoHyphens w:val="0"/>
        <w:spacing w:line="360" w:lineRule="auto"/>
        <w:ind w:left="0" w:firstLine="360"/>
        <w:contextualSpacing/>
        <w:jc w:val="both"/>
        <w:textAlignment w:val="auto"/>
        <w:rPr>
          <w:rFonts w:eastAsia="Times New Roman" w:cs="Times New Roman"/>
          <w:b/>
          <w:color w:val="000000"/>
          <w:sz w:val="24"/>
          <w:szCs w:val="24"/>
          <w:lang w:eastAsia="pt-BR"/>
        </w:rPr>
      </w:pPr>
      <w:r w:rsidRPr="000E12FD">
        <w:rPr>
          <w:rFonts w:eastAsia="Times New Roman" w:cs="Times New Roman"/>
          <w:color w:val="000000"/>
          <w:sz w:val="24"/>
          <w:szCs w:val="24"/>
          <w:lang w:eastAsia="pt-BR"/>
        </w:rPr>
        <w:t>Todos os equipamentos e acessórios fornecidos devem ser novos, de primeira qualidade e devem constar da linha de produção atual dos fabricantes. A relação de equipamentos, suas quantidades e requisitos técnicos mínimos serão apresentados a seguir</w:t>
      </w:r>
      <w:r w:rsidRPr="000E12FD">
        <w:rPr>
          <w:rFonts w:eastAsia="Times New Roman" w:cs="Times New Roman"/>
          <w:color w:val="000000"/>
          <w:szCs w:val="24"/>
          <w:lang w:eastAsia="pt-BR"/>
        </w:rPr>
        <w:t xml:space="preserve">. </w:t>
      </w:r>
    </w:p>
    <w:tbl>
      <w:tblPr>
        <w:tblStyle w:val="Tabelacomgrade"/>
        <w:tblW w:w="8222" w:type="dxa"/>
        <w:tblInd w:w="137" w:type="dxa"/>
        <w:tblLook w:val="04A0" w:firstRow="1" w:lastRow="0" w:firstColumn="1" w:lastColumn="0" w:noHBand="0" w:noVBand="1"/>
      </w:tblPr>
      <w:tblGrid>
        <w:gridCol w:w="750"/>
        <w:gridCol w:w="1083"/>
        <w:gridCol w:w="3896"/>
        <w:gridCol w:w="894"/>
        <w:gridCol w:w="1599"/>
      </w:tblGrid>
      <w:tr w:rsidR="00F91EEB" w:rsidRPr="00785FA8" w14:paraId="110FD6A8" w14:textId="77777777" w:rsidTr="008B591F">
        <w:trPr>
          <w:tblHeader/>
        </w:trPr>
        <w:tc>
          <w:tcPr>
            <w:tcW w:w="750" w:type="dxa"/>
            <w:shd w:val="clear" w:color="auto" w:fill="D9D9D9" w:themeFill="background1" w:themeFillShade="D9"/>
          </w:tcPr>
          <w:p w14:paraId="2D85E239" w14:textId="77777777" w:rsidR="00F91EEB" w:rsidRPr="00785FA8" w:rsidRDefault="00F91EEB" w:rsidP="008B591F">
            <w:pPr>
              <w:rPr>
                <w:rFonts w:cs="Times New Roman"/>
                <w:b/>
                <w:bCs/>
                <w:sz w:val="20"/>
                <w:szCs w:val="20"/>
              </w:rPr>
            </w:pPr>
            <w:r w:rsidRPr="00785FA8">
              <w:rPr>
                <w:rFonts w:cs="Times New Roman"/>
                <w:b/>
                <w:bCs/>
                <w:sz w:val="20"/>
                <w:szCs w:val="20"/>
              </w:rPr>
              <w:t>ITEM</w:t>
            </w:r>
          </w:p>
        </w:tc>
        <w:tc>
          <w:tcPr>
            <w:tcW w:w="1083" w:type="dxa"/>
            <w:shd w:val="clear" w:color="auto" w:fill="D9D9D9" w:themeFill="background1" w:themeFillShade="D9"/>
          </w:tcPr>
          <w:p w14:paraId="04447F13" w14:textId="77777777" w:rsidR="00F91EEB" w:rsidRPr="00785FA8" w:rsidRDefault="00F91EEB" w:rsidP="008B591F">
            <w:pPr>
              <w:rPr>
                <w:rFonts w:cs="Times New Roman"/>
                <w:b/>
                <w:bCs/>
                <w:sz w:val="20"/>
                <w:szCs w:val="20"/>
              </w:rPr>
            </w:pPr>
            <w:r w:rsidRPr="00785FA8">
              <w:rPr>
                <w:rFonts w:cs="Times New Roman"/>
                <w:b/>
                <w:bCs/>
                <w:sz w:val="20"/>
                <w:szCs w:val="20"/>
              </w:rPr>
              <w:t>OBJETO</w:t>
            </w:r>
          </w:p>
        </w:tc>
        <w:tc>
          <w:tcPr>
            <w:tcW w:w="3896" w:type="dxa"/>
            <w:shd w:val="clear" w:color="auto" w:fill="D9D9D9" w:themeFill="background1" w:themeFillShade="D9"/>
          </w:tcPr>
          <w:p w14:paraId="52CBB1A0" w14:textId="77777777" w:rsidR="00F91EEB" w:rsidRPr="00785FA8" w:rsidRDefault="00F91EEB" w:rsidP="008B591F">
            <w:pPr>
              <w:rPr>
                <w:rFonts w:cs="Times New Roman"/>
                <w:b/>
                <w:bCs/>
                <w:sz w:val="20"/>
                <w:szCs w:val="20"/>
              </w:rPr>
            </w:pPr>
            <w:r w:rsidRPr="00785FA8">
              <w:rPr>
                <w:rFonts w:cs="Times New Roman"/>
                <w:b/>
                <w:bCs/>
                <w:sz w:val="20"/>
                <w:szCs w:val="20"/>
              </w:rPr>
              <w:t>DESCRIÇÃO</w:t>
            </w:r>
          </w:p>
        </w:tc>
        <w:tc>
          <w:tcPr>
            <w:tcW w:w="894" w:type="dxa"/>
            <w:shd w:val="clear" w:color="auto" w:fill="D9D9D9" w:themeFill="background1" w:themeFillShade="D9"/>
          </w:tcPr>
          <w:p w14:paraId="6B6A2A07" w14:textId="77777777" w:rsidR="00F91EEB" w:rsidRPr="00785FA8" w:rsidRDefault="00F91EEB" w:rsidP="008B591F">
            <w:pPr>
              <w:rPr>
                <w:rFonts w:cs="Times New Roman"/>
                <w:b/>
                <w:bCs/>
                <w:sz w:val="20"/>
                <w:szCs w:val="20"/>
              </w:rPr>
            </w:pPr>
            <w:r w:rsidRPr="00785FA8">
              <w:rPr>
                <w:rFonts w:cs="Times New Roman"/>
                <w:b/>
                <w:bCs/>
                <w:sz w:val="20"/>
                <w:szCs w:val="20"/>
              </w:rPr>
              <w:t>UNID.</w:t>
            </w:r>
          </w:p>
        </w:tc>
        <w:tc>
          <w:tcPr>
            <w:tcW w:w="1599" w:type="dxa"/>
            <w:shd w:val="clear" w:color="auto" w:fill="D9D9D9" w:themeFill="background1" w:themeFillShade="D9"/>
          </w:tcPr>
          <w:p w14:paraId="62DB45C1" w14:textId="77777777" w:rsidR="00F91EEB" w:rsidRPr="00785FA8" w:rsidRDefault="00F91EEB" w:rsidP="008B591F">
            <w:pPr>
              <w:rPr>
                <w:rFonts w:cs="Times New Roman"/>
                <w:b/>
                <w:bCs/>
                <w:sz w:val="20"/>
                <w:szCs w:val="20"/>
              </w:rPr>
            </w:pPr>
            <w:r w:rsidRPr="00785FA8">
              <w:rPr>
                <w:rFonts w:cs="Times New Roman"/>
                <w:b/>
                <w:bCs/>
                <w:sz w:val="20"/>
                <w:szCs w:val="20"/>
              </w:rPr>
              <w:t>QTDE</w:t>
            </w:r>
          </w:p>
        </w:tc>
      </w:tr>
      <w:tr w:rsidR="00F91EEB" w:rsidRPr="00785FA8" w14:paraId="78A7567C" w14:textId="77777777" w:rsidTr="008B591F">
        <w:tc>
          <w:tcPr>
            <w:tcW w:w="750" w:type="dxa"/>
          </w:tcPr>
          <w:p w14:paraId="27AAA0D5" w14:textId="77777777" w:rsidR="00F91EEB" w:rsidRPr="00785FA8" w:rsidRDefault="00F91EEB" w:rsidP="008B591F">
            <w:pPr>
              <w:rPr>
                <w:rFonts w:cs="Times New Roman"/>
                <w:sz w:val="20"/>
                <w:szCs w:val="20"/>
              </w:rPr>
            </w:pPr>
            <w:r>
              <w:rPr>
                <w:rFonts w:cs="Times New Roman"/>
                <w:sz w:val="20"/>
                <w:szCs w:val="20"/>
              </w:rPr>
              <w:t>1</w:t>
            </w:r>
          </w:p>
        </w:tc>
        <w:tc>
          <w:tcPr>
            <w:tcW w:w="1083" w:type="dxa"/>
          </w:tcPr>
          <w:p w14:paraId="57E8CEE3" w14:textId="77777777" w:rsidR="00F91EEB" w:rsidRPr="00785FA8" w:rsidRDefault="00F91EEB" w:rsidP="008B591F">
            <w:pPr>
              <w:rPr>
                <w:rFonts w:cs="Times New Roman"/>
                <w:sz w:val="20"/>
                <w:szCs w:val="20"/>
              </w:rPr>
            </w:pPr>
            <w:r w:rsidRPr="00785FA8">
              <w:rPr>
                <w:rFonts w:cs="Times New Roman"/>
                <w:sz w:val="20"/>
                <w:szCs w:val="20"/>
              </w:rPr>
              <w:t xml:space="preserve">Contêiner </w:t>
            </w:r>
            <w:r w:rsidRPr="00785FA8">
              <w:rPr>
                <w:rFonts w:cs="Times New Roman"/>
                <w:sz w:val="20"/>
                <w:szCs w:val="20"/>
              </w:rPr>
              <w:lastRenderedPageBreak/>
              <w:t>ou Contentor Metálico</w:t>
            </w:r>
          </w:p>
        </w:tc>
        <w:tc>
          <w:tcPr>
            <w:tcW w:w="3896" w:type="dxa"/>
          </w:tcPr>
          <w:p w14:paraId="1955CD8F" w14:textId="7E4B8197" w:rsidR="00F91EEB" w:rsidRPr="00785FA8" w:rsidRDefault="00F91EEB" w:rsidP="008B591F">
            <w:pPr>
              <w:rPr>
                <w:rFonts w:cs="Times New Roman"/>
                <w:sz w:val="20"/>
                <w:szCs w:val="20"/>
              </w:rPr>
            </w:pPr>
            <w:r w:rsidRPr="00785FA8">
              <w:rPr>
                <w:rFonts w:cs="Times New Roman"/>
                <w:sz w:val="20"/>
                <w:szCs w:val="20"/>
              </w:rPr>
              <w:lastRenderedPageBreak/>
              <w:t xml:space="preserve">- Contentor de Lixo, corpo metálico; com </w:t>
            </w:r>
            <w:r w:rsidRPr="00785FA8">
              <w:rPr>
                <w:rFonts w:cs="Times New Roman"/>
                <w:sz w:val="20"/>
                <w:szCs w:val="20"/>
              </w:rPr>
              <w:lastRenderedPageBreak/>
              <w:t>capacidade de 1200 litros; modelo fabricado de acordo com a norma técnica NBR 13334, da Associação Brasileira de Normas Técnicas (ABNT);</w:t>
            </w:r>
            <w:r w:rsidR="003B2383">
              <w:rPr>
                <w:rFonts w:cs="Times New Roman"/>
                <w:sz w:val="20"/>
                <w:szCs w:val="20"/>
              </w:rPr>
              <w:t xml:space="preserve"> </w:t>
            </w:r>
            <w:r w:rsidRPr="00785FA8">
              <w:rPr>
                <w:rFonts w:cs="Times New Roman"/>
                <w:sz w:val="20"/>
                <w:szCs w:val="20"/>
              </w:rPr>
              <w:t>Com dreno no assoalho para escoamento de líquido.</w:t>
            </w:r>
          </w:p>
          <w:p w14:paraId="0BBB9A6E" w14:textId="77777777" w:rsidR="00F91EEB" w:rsidRPr="00785FA8" w:rsidRDefault="00F91EEB" w:rsidP="008B591F">
            <w:pPr>
              <w:rPr>
                <w:rFonts w:cs="Times New Roman"/>
                <w:sz w:val="20"/>
                <w:szCs w:val="20"/>
              </w:rPr>
            </w:pPr>
          </w:p>
          <w:p w14:paraId="37201945" w14:textId="77777777" w:rsidR="00F91EEB" w:rsidRPr="00785FA8" w:rsidRDefault="00F91EEB" w:rsidP="008B591F">
            <w:pPr>
              <w:rPr>
                <w:rFonts w:cs="Times New Roman"/>
                <w:sz w:val="20"/>
                <w:szCs w:val="20"/>
              </w:rPr>
            </w:pPr>
            <w:r w:rsidRPr="00785FA8">
              <w:rPr>
                <w:rFonts w:cs="Times New Roman"/>
                <w:sz w:val="20"/>
                <w:szCs w:val="20"/>
              </w:rPr>
              <w:t xml:space="preserve">- Pintura na lataria com a palavra “indiferenciado” </w:t>
            </w:r>
          </w:p>
          <w:p w14:paraId="65764574" w14:textId="77777777" w:rsidR="00F91EEB" w:rsidRPr="00785FA8" w:rsidRDefault="00F91EEB" w:rsidP="008B591F">
            <w:pPr>
              <w:rPr>
                <w:rFonts w:cs="Times New Roman"/>
                <w:sz w:val="20"/>
                <w:szCs w:val="20"/>
              </w:rPr>
            </w:pPr>
          </w:p>
          <w:p w14:paraId="055367BC" w14:textId="1747EFBD" w:rsidR="00F91EEB" w:rsidRPr="00785FA8" w:rsidRDefault="00F91EEB" w:rsidP="008B591F">
            <w:pPr>
              <w:rPr>
                <w:rFonts w:cs="Times New Roman"/>
                <w:sz w:val="20"/>
                <w:szCs w:val="20"/>
              </w:rPr>
            </w:pPr>
            <w:r w:rsidRPr="00785FA8">
              <w:rPr>
                <w:rFonts w:cs="Times New Roman"/>
                <w:sz w:val="20"/>
                <w:szCs w:val="20"/>
              </w:rPr>
              <w:t xml:space="preserve">- Fabricado em chapa de aço SAE 1045 ou 1020; modelo com duas tampas articuladas com porta cadeados ou similar; </w:t>
            </w:r>
            <w:proofErr w:type="spellStart"/>
            <w:r w:rsidRPr="00785FA8">
              <w:rPr>
                <w:rFonts w:cs="Times New Roman"/>
                <w:sz w:val="20"/>
                <w:szCs w:val="20"/>
              </w:rPr>
              <w:t>munhões</w:t>
            </w:r>
            <w:proofErr w:type="spellEnd"/>
            <w:r w:rsidRPr="00785FA8">
              <w:rPr>
                <w:rFonts w:cs="Times New Roman"/>
                <w:sz w:val="20"/>
                <w:szCs w:val="20"/>
              </w:rPr>
              <w:t xml:space="preserve"> em aço reforçado (barras maciças laterais para contato com caminhões de coleta); equipado com 4 rodízios giratórios 6x3 de ferro revestido de borracha maciça (Para melhor absorver ao impacto); sistema deslizante e freio</w:t>
            </w:r>
            <w:r w:rsidR="005F60AD">
              <w:rPr>
                <w:rFonts w:cs="Times New Roman"/>
                <w:sz w:val="20"/>
                <w:szCs w:val="20"/>
              </w:rPr>
              <w:t xml:space="preserve"> </w:t>
            </w:r>
            <w:r w:rsidRPr="00785FA8">
              <w:rPr>
                <w:rFonts w:cs="Times New Roman"/>
                <w:sz w:val="20"/>
                <w:szCs w:val="20"/>
              </w:rPr>
              <w:t>em duas rodas; abertura no fundo para escoamento de líquidos, com caída de aproximadamente 3 cm; estrutura tratada com material antiferrugem.</w:t>
            </w:r>
          </w:p>
          <w:p w14:paraId="6BBF3CAF" w14:textId="77777777" w:rsidR="00F91EEB" w:rsidRPr="00785FA8" w:rsidRDefault="00F91EEB" w:rsidP="008B591F">
            <w:pPr>
              <w:rPr>
                <w:rFonts w:cs="Times New Roman"/>
                <w:sz w:val="20"/>
                <w:szCs w:val="20"/>
              </w:rPr>
            </w:pPr>
          </w:p>
          <w:p w14:paraId="2287F7EB" w14:textId="77777777" w:rsidR="00F91EEB" w:rsidRPr="00785FA8" w:rsidRDefault="00F91EEB" w:rsidP="008B591F">
            <w:pPr>
              <w:rPr>
                <w:rFonts w:cs="Times New Roman"/>
                <w:sz w:val="20"/>
                <w:szCs w:val="20"/>
              </w:rPr>
            </w:pPr>
            <w:r w:rsidRPr="00785FA8">
              <w:rPr>
                <w:rFonts w:cs="Times New Roman"/>
                <w:sz w:val="20"/>
                <w:szCs w:val="20"/>
              </w:rPr>
              <w:t>- Medidas aproximadas:</w:t>
            </w:r>
          </w:p>
          <w:p w14:paraId="553EAD0A" w14:textId="77777777" w:rsidR="00F91EEB" w:rsidRPr="00785FA8" w:rsidRDefault="00F91EEB" w:rsidP="008B591F">
            <w:pPr>
              <w:rPr>
                <w:rFonts w:cs="Times New Roman"/>
                <w:sz w:val="20"/>
                <w:szCs w:val="20"/>
              </w:rPr>
            </w:pPr>
            <w:r w:rsidRPr="00785FA8">
              <w:rPr>
                <w:rFonts w:cs="Times New Roman"/>
                <w:sz w:val="20"/>
                <w:szCs w:val="20"/>
              </w:rPr>
              <w:t>Comprimento:196 a 199cm</w:t>
            </w:r>
          </w:p>
          <w:p w14:paraId="60813B16" w14:textId="77777777" w:rsidR="00F91EEB" w:rsidRPr="00785FA8" w:rsidRDefault="00F91EEB" w:rsidP="008B591F">
            <w:pPr>
              <w:rPr>
                <w:rFonts w:cs="Times New Roman"/>
                <w:sz w:val="20"/>
                <w:szCs w:val="20"/>
              </w:rPr>
            </w:pPr>
            <w:r w:rsidRPr="00785FA8">
              <w:rPr>
                <w:rFonts w:cs="Times New Roman"/>
                <w:sz w:val="20"/>
                <w:szCs w:val="20"/>
              </w:rPr>
              <w:t>Largura:92 a 99 cm</w:t>
            </w:r>
          </w:p>
          <w:p w14:paraId="58C4AEC1" w14:textId="77777777" w:rsidR="00F91EEB" w:rsidRPr="00785FA8" w:rsidRDefault="00F91EEB" w:rsidP="008B591F">
            <w:pPr>
              <w:rPr>
                <w:rFonts w:cs="Times New Roman"/>
                <w:sz w:val="20"/>
                <w:szCs w:val="20"/>
              </w:rPr>
            </w:pPr>
            <w:r w:rsidRPr="00785FA8">
              <w:rPr>
                <w:rFonts w:cs="Times New Roman"/>
                <w:sz w:val="20"/>
                <w:szCs w:val="20"/>
              </w:rPr>
              <w:t>Altura:116 a 120 cm</w:t>
            </w:r>
          </w:p>
          <w:p w14:paraId="0C71144F" w14:textId="77777777" w:rsidR="00F91EEB" w:rsidRPr="00785FA8" w:rsidRDefault="00F91EEB" w:rsidP="008B591F">
            <w:pPr>
              <w:rPr>
                <w:rFonts w:cs="Times New Roman"/>
                <w:sz w:val="20"/>
                <w:szCs w:val="20"/>
              </w:rPr>
            </w:pPr>
          </w:p>
          <w:p w14:paraId="6924C748" w14:textId="215022C9" w:rsidR="00F91EEB" w:rsidRPr="00785FA8" w:rsidRDefault="00F91EEB" w:rsidP="008B591F">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r w:rsidR="002A17E0">
              <w:rPr>
                <w:rFonts w:cs="Times New Roman"/>
                <w:sz w:val="20"/>
                <w:szCs w:val="20"/>
              </w:rPr>
              <w:t>.</w:t>
            </w:r>
          </w:p>
        </w:tc>
        <w:tc>
          <w:tcPr>
            <w:tcW w:w="894" w:type="dxa"/>
          </w:tcPr>
          <w:p w14:paraId="42FDF1EB" w14:textId="77777777" w:rsidR="00F91EEB" w:rsidRPr="00785FA8" w:rsidRDefault="00F91EEB" w:rsidP="008B591F">
            <w:pPr>
              <w:rPr>
                <w:rFonts w:cs="Times New Roman"/>
                <w:sz w:val="20"/>
                <w:szCs w:val="20"/>
              </w:rPr>
            </w:pPr>
            <w:r w:rsidRPr="00785FA8">
              <w:rPr>
                <w:rFonts w:cs="Times New Roman"/>
                <w:sz w:val="20"/>
                <w:szCs w:val="20"/>
              </w:rPr>
              <w:lastRenderedPageBreak/>
              <w:t>Unidade</w:t>
            </w:r>
          </w:p>
        </w:tc>
        <w:tc>
          <w:tcPr>
            <w:tcW w:w="1599" w:type="dxa"/>
          </w:tcPr>
          <w:p w14:paraId="23369944" w14:textId="77777777" w:rsidR="00F91EEB" w:rsidRPr="00785FA8" w:rsidRDefault="00F91EEB" w:rsidP="008B591F">
            <w:pPr>
              <w:rPr>
                <w:rFonts w:cs="Times New Roman"/>
                <w:sz w:val="20"/>
                <w:szCs w:val="20"/>
              </w:rPr>
            </w:pPr>
            <w:r w:rsidRPr="00785FA8">
              <w:rPr>
                <w:rFonts w:cs="Times New Roman"/>
                <w:sz w:val="20"/>
                <w:szCs w:val="20"/>
              </w:rPr>
              <w:t xml:space="preserve">01 unidade, na </w:t>
            </w:r>
            <w:r w:rsidRPr="00785FA8">
              <w:rPr>
                <w:rFonts w:cs="Times New Roman"/>
                <w:sz w:val="20"/>
                <w:szCs w:val="20"/>
              </w:rPr>
              <w:lastRenderedPageBreak/>
              <w:t>cor cinza, com a pintura “indiferenciado”.</w:t>
            </w:r>
          </w:p>
          <w:p w14:paraId="00A297D4" w14:textId="77777777" w:rsidR="00F91EEB" w:rsidRPr="00785FA8" w:rsidRDefault="00F91EEB" w:rsidP="008B591F">
            <w:pPr>
              <w:rPr>
                <w:rFonts w:cs="Times New Roman"/>
                <w:sz w:val="20"/>
                <w:szCs w:val="20"/>
              </w:rPr>
            </w:pPr>
          </w:p>
        </w:tc>
      </w:tr>
    </w:tbl>
    <w:p w14:paraId="46ADD546" w14:textId="77777777" w:rsidR="00F91EEB"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C10777">
        <w:rPr>
          <w:rFonts w:eastAsia="Times New Roman" w:cs="Times New Roman"/>
          <w:color w:val="000000"/>
          <w:sz w:val="24"/>
          <w:szCs w:val="24"/>
          <w:lang w:eastAsia="pt-BR"/>
        </w:rPr>
        <w:lastRenderedPageBreak/>
        <w:t>A CONTRATADA deverá entregar os equipamentos no local especificado pela FISCALIZAÇÃO, sendo responsável pelo transporte horizontal e vertical deles até o local designado.</w:t>
      </w:r>
    </w:p>
    <w:p w14:paraId="15DBB7F9" w14:textId="77777777" w:rsidR="00F91EEB" w:rsidRPr="00E575EC"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C10777">
        <w:rPr>
          <w:rFonts w:cs="Times New Roman"/>
          <w:sz w:val="24"/>
          <w:szCs w:val="24"/>
        </w:rPr>
        <w:t>Fazem parte da presente especificação, no que forem aplicáveis, as normas dos fabricantes e certificação INMETRO.</w:t>
      </w:r>
    </w:p>
    <w:p w14:paraId="292D8142" w14:textId="77777777" w:rsidR="00F91EEB" w:rsidRPr="00C10777"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cs="Times New Roman"/>
          <w:sz w:val="24"/>
          <w:szCs w:val="24"/>
        </w:rPr>
        <w:t>E</w:t>
      </w:r>
      <w:r w:rsidRPr="00455FD9">
        <w:rPr>
          <w:rFonts w:cs="Times New Roman"/>
          <w:sz w:val="24"/>
          <w:szCs w:val="24"/>
        </w:rPr>
        <w:t>m caso de saída do equipamento para reparo ou manutenção, a empresa deve</w:t>
      </w:r>
      <w:r>
        <w:rPr>
          <w:rFonts w:cs="Times New Roman"/>
          <w:sz w:val="24"/>
          <w:szCs w:val="24"/>
        </w:rPr>
        <w:t>rá</w:t>
      </w:r>
      <w:r w:rsidRPr="00455FD9">
        <w:rPr>
          <w:rFonts w:cs="Times New Roman"/>
          <w:sz w:val="24"/>
          <w:szCs w:val="24"/>
        </w:rPr>
        <w:t xml:space="preserve"> deixar </w:t>
      </w:r>
      <w:r>
        <w:rPr>
          <w:rFonts w:cs="Times New Roman"/>
          <w:sz w:val="24"/>
          <w:szCs w:val="24"/>
        </w:rPr>
        <w:t>outro equipamento</w:t>
      </w:r>
      <w:r w:rsidRPr="00455FD9">
        <w:rPr>
          <w:rFonts w:cs="Times New Roman"/>
          <w:sz w:val="24"/>
          <w:szCs w:val="24"/>
        </w:rPr>
        <w:t xml:space="preserve"> como substituto provisório.</w:t>
      </w:r>
    </w:p>
    <w:p w14:paraId="51C4847C" w14:textId="77777777" w:rsidR="00F91EEB" w:rsidRPr="006E735A"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b/>
          <w:color w:val="000000"/>
          <w:sz w:val="24"/>
          <w:szCs w:val="24"/>
          <w:lang w:eastAsia="pt-BR"/>
        </w:rPr>
      </w:pPr>
      <w:r w:rsidRPr="000F4779">
        <w:rPr>
          <w:rFonts w:eastAsia="Times New Roman" w:cs="Times New Roman"/>
          <w:b/>
          <w:bCs/>
          <w:caps/>
          <w:color w:val="000000"/>
          <w:sz w:val="24"/>
          <w:szCs w:val="24"/>
          <w:lang w:eastAsia="pt-BR"/>
        </w:rPr>
        <w:t>CRITÉRIOS DE SUSTENTABILIDADE</w:t>
      </w:r>
    </w:p>
    <w:p w14:paraId="7B1B7C22" w14:textId="77777777" w:rsidR="00F91EEB" w:rsidRPr="006E735A"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Pr>
          <w:rFonts w:eastAsia="Times New Roman" w:cs="Times New Roman"/>
          <w:color w:val="000000"/>
          <w:sz w:val="24"/>
          <w:szCs w:val="24"/>
          <w:lang w:eastAsia="pt-BR"/>
        </w:rPr>
        <w:t>A</w:t>
      </w:r>
      <w:r w:rsidRPr="006E735A">
        <w:rPr>
          <w:rFonts w:eastAsia="Times New Roman" w:cs="Times New Roman"/>
          <w:color w:val="000000"/>
          <w:sz w:val="24"/>
          <w:szCs w:val="24"/>
          <w:lang w:eastAsia="pt-BR"/>
        </w:rPr>
        <w:t xml:space="preserve">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w:t>
      </w:r>
      <w:r>
        <w:rPr>
          <w:rFonts w:eastAsia="Times New Roman" w:cs="Times New Roman"/>
          <w:color w:val="000000"/>
          <w:sz w:val="24"/>
          <w:szCs w:val="24"/>
          <w:lang w:eastAsia="pt-BR"/>
        </w:rPr>
        <w:t xml:space="preserve"> </w:t>
      </w:r>
      <w:r w:rsidRPr="006E735A">
        <w:rPr>
          <w:rFonts w:eastAsia="Times New Roman" w:cs="Times New Roman"/>
          <w:color w:val="000000"/>
          <w:sz w:val="24"/>
          <w:szCs w:val="24"/>
          <w:lang w:eastAsia="pt-BR"/>
        </w:rPr>
        <w:t>e a Lei nº 12.305 de 02 de agosto de 2010.</w:t>
      </w:r>
    </w:p>
    <w:p w14:paraId="6876248D" w14:textId="77777777" w:rsidR="00F91EEB" w:rsidRPr="00FB6846"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6E735A">
        <w:rPr>
          <w:rFonts w:eastAsia="Times New Roman" w:cs="Times New Roman"/>
          <w:color w:val="000000"/>
          <w:sz w:val="24"/>
          <w:szCs w:val="24"/>
          <w:lang w:eastAsia="pt-BR"/>
        </w:rPr>
        <w:lastRenderedPageBreak/>
        <w:t xml:space="preserve">Os produtos fornecidos e suas embalagens deverão ser preferencialmente fabricados com materiais </w:t>
      </w:r>
      <w:r>
        <w:rPr>
          <w:rFonts w:eastAsia="Times New Roman" w:cs="Times New Roman"/>
          <w:color w:val="000000"/>
          <w:sz w:val="24"/>
          <w:szCs w:val="24"/>
          <w:lang w:eastAsia="pt-BR"/>
        </w:rPr>
        <w:t>recicláveis.</w:t>
      </w:r>
    </w:p>
    <w:p w14:paraId="17652D56"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b/>
          <w:color w:val="000000"/>
          <w:sz w:val="24"/>
          <w:szCs w:val="24"/>
          <w:lang w:eastAsia="pt-BR"/>
        </w:rPr>
      </w:pPr>
      <w:r w:rsidRPr="000F4779">
        <w:rPr>
          <w:rFonts w:eastAsia="Times New Roman" w:cs="Times New Roman"/>
          <w:b/>
          <w:bCs/>
          <w:caps/>
          <w:color w:val="000000"/>
          <w:sz w:val="24"/>
          <w:szCs w:val="24"/>
          <w:lang w:eastAsia="pt-BR"/>
        </w:rPr>
        <w:t>ADEQUAÇÃO ORÇAMENTÁRIA</w:t>
      </w:r>
    </w:p>
    <w:p w14:paraId="1F88F63D" w14:textId="77777777" w:rsidR="00F91EEB" w:rsidRPr="00E27CEE" w:rsidRDefault="00F91EEB" w:rsidP="00F91EEB">
      <w:pPr>
        <w:pStyle w:val="PargrafodaLista"/>
        <w:numPr>
          <w:ilvl w:val="1"/>
          <w:numId w:val="133"/>
        </w:numPr>
        <w:suppressAutoHyphens w:val="0"/>
        <w:spacing w:before="240" w:after="240" w:line="360" w:lineRule="auto"/>
        <w:ind w:left="0" w:firstLine="709"/>
        <w:contextualSpacing/>
        <w:jc w:val="both"/>
        <w:textAlignment w:val="auto"/>
        <w:rPr>
          <w:rFonts w:eastAsia="Times New Roman" w:cs="Times New Roman"/>
          <w:color w:val="000000"/>
          <w:sz w:val="24"/>
          <w:szCs w:val="24"/>
          <w:lang w:eastAsia="pt-BR"/>
        </w:rPr>
      </w:pPr>
      <w:r w:rsidRPr="0020626D">
        <w:rPr>
          <w:rFonts w:eastAsia="Times New Roman" w:cs="Times New Roman"/>
          <w:color w:val="000000"/>
          <w:sz w:val="24"/>
          <w:szCs w:val="24"/>
          <w:lang w:eastAsia="pt-BR"/>
        </w:rPr>
        <w:t>Os</w:t>
      </w:r>
      <w:r w:rsidRPr="0020626D">
        <w:rPr>
          <w:rFonts w:cs="Times New Roman"/>
          <w:bCs/>
          <w:sz w:val="24"/>
          <w:szCs w:val="24"/>
        </w:rPr>
        <w:t xml:space="preserve"> recursos dessa </w:t>
      </w:r>
      <w:r w:rsidRPr="00E81EB4">
        <w:rPr>
          <w:rFonts w:cs="Times New Roman"/>
          <w:bCs/>
          <w:sz w:val="24"/>
          <w:szCs w:val="24"/>
        </w:rPr>
        <w:t>contratação estão consignados no orçamento da União para 20</w:t>
      </w:r>
      <w:r>
        <w:rPr>
          <w:rFonts w:cs="Times New Roman"/>
          <w:bCs/>
          <w:sz w:val="24"/>
          <w:szCs w:val="24"/>
        </w:rPr>
        <w:t>22</w:t>
      </w:r>
      <w:r w:rsidRPr="00E81EB4">
        <w:rPr>
          <w:rFonts w:cs="Times New Roman"/>
          <w:bCs/>
          <w:sz w:val="24"/>
          <w:szCs w:val="24"/>
        </w:rPr>
        <w:t xml:space="preserve">, no Plano Interno </w:t>
      </w:r>
      <w:r w:rsidRPr="00E27CEE">
        <w:rPr>
          <w:rFonts w:cs="Times New Roman"/>
          <w:bCs/>
          <w:sz w:val="24"/>
          <w:szCs w:val="24"/>
        </w:rPr>
        <w:t>A_COGBS0100</w:t>
      </w:r>
      <w:r w:rsidRPr="00E81EB4">
        <w:rPr>
          <w:rFonts w:cs="Times New Roman"/>
          <w:bCs/>
          <w:sz w:val="24"/>
          <w:szCs w:val="24"/>
        </w:rPr>
        <w:t xml:space="preserve">, PTRES </w:t>
      </w:r>
      <w:r w:rsidRPr="00E27CEE">
        <w:rPr>
          <w:rFonts w:cs="Times New Roman"/>
          <w:bCs/>
          <w:sz w:val="24"/>
          <w:szCs w:val="24"/>
        </w:rPr>
        <w:t>174664</w:t>
      </w:r>
      <w:r w:rsidRPr="00E81EB4">
        <w:rPr>
          <w:rFonts w:cs="Times New Roman"/>
          <w:bCs/>
          <w:sz w:val="24"/>
          <w:szCs w:val="24"/>
        </w:rPr>
        <w:t xml:space="preserve"> e Natureza de Despesa</w:t>
      </w:r>
      <w:r>
        <w:rPr>
          <w:rFonts w:cs="Times New Roman"/>
          <w:bCs/>
          <w:sz w:val="24"/>
          <w:szCs w:val="24"/>
        </w:rPr>
        <w:t>:</w:t>
      </w:r>
    </w:p>
    <w:p w14:paraId="645B4C43" w14:textId="77777777" w:rsidR="00F91EEB" w:rsidRPr="00E27CEE" w:rsidRDefault="00F91EEB" w:rsidP="00F91EEB">
      <w:pPr>
        <w:pStyle w:val="PargrafodaLista"/>
        <w:numPr>
          <w:ilvl w:val="2"/>
          <w:numId w:val="133"/>
        </w:numPr>
        <w:suppressAutoHyphens w:val="0"/>
        <w:spacing w:before="240" w:after="240" w:line="360" w:lineRule="auto"/>
        <w:contextualSpacing/>
        <w:jc w:val="both"/>
        <w:textAlignment w:val="auto"/>
        <w:rPr>
          <w:rFonts w:eastAsia="Times New Roman" w:cs="Times New Roman"/>
          <w:color w:val="000000"/>
          <w:sz w:val="24"/>
          <w:szCs w:val="24"/>
          <w:lang w:eastAsia="pt-BR"/>
        </w:rPr>
      </w:pPr>
      <w:r w:rsidRPr="00E27CEE">
        <w:rPr>
          <w:rFonts w:eastAsia="Times New Roman" w:cs="Times New Roman"/>
          <w:color w:val="000000"/>
          <w:sz w:val="24"/>
          <w:szCs w:val="24"/>
          <w:lang w:eastAsia="pt-BR"/>
        </w:rPr>
        <w:t>Contêiner - 4.4.90.52-34 - Máquinas, Utensílios e Equipamentos Diversos</w:t>
      </w:r>
    </w:p>
    <w:p w14:paraId="1D8998D5"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961E8E">
        <w:rPr>
          <w:rFonts w:eastAsia="Times New Roman" w:cs="Times New Roman"/>
          <w:b/>
          <w:bCs/>
          <w:caps/>
          <w:sz w:val="24"/>
          <w:szCs w:val="24"/>
          <w:lang w:eastAsia="pt-BR"/>
        </w:rPr>
        <w:t>Local, PRAZO DE ENTREGA</w:t>
      </w:r>
      <w:r w:rsidRPr="000F4779">
        <w:rPr>
          <w:rFonts w:eastAsia="Times New Roman" w:cs="Times New Roman"/>
          <w:b/>
          <w:bCs/>
          <w:caps/>
          <w:color w:val="000000"/>
          <w:sz w:val="24"/>
          <w:szCs w:val="24"/>
          <w:lang w:eastAsia="pt-BR"/>
        </w:rPr>
        <w:t xml:space="preserve"> E CRITÉRIOS DE ACEITAÇÃO DO OBJETO</w:t>
      </w:r>
    </w:p>
    <w:p w14:paraId="42B8EBD6"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961E8E">
        <w:rPr>
          <w:rFonts w:eastAsia="Times New Roman" w:cs="Times New Roman"/>
          <w:sz w:val="24"/>
          <w:szCs w:val="24"/>
          <w:lang w:eastAsia="pt-BR"/>
        </w:rPr>
        <w:t xml:space="preserve">O prazo de entrega dos materiais é </w:t>
      </w:r>
      <w:r w:rsidRPr="00205E02">
        <w:rPr>
          <w:rFonts w:eastAsia="Times New Roman" w:cs="Times New Roman"/>
          <w:sz w:val="24"/>
          <w:szCs w:val="24"/>
          <w:lang w:eastAsia="pt-BR"/>
        </w:rPr>
        <w:t>de 30 (trinta) dias</w:t>
      </w:r>
      <w:r>
        <w:rPr>
          <w:rFonts w:eastAsia="Times New Roman" w:cs="Times New Roman"/>
          <w:sz w:val="24"/>
          <w:szCs w:val="24"/>
          <w:lang w:eastAsia="pt-BR"/>
        </w:rPr>
        <w:t xml:space="preserve"> </w:t>
      </w:r>
      <w:r w:rsidRPr="00205E02">
        <w:rPr>
          <w:rFonts w:eastAsia="Times New Roman" w:cs="Times New Roman"/>
          <w:sz w:val="24"/>
          <w:szCs w:val="24"/>
          <w:lang w:eastAsia="pt-BR"/>
        </w:rPr>
        <w:t>corridos</w:t>
      </w:r>
      <w:r>
        <w:rPr>
          <w:rFonts w:eastAsia="Times New Roman" w:cs="Times New Roman"/>
          <w:sz w:val="24"/>
          <w:szCs w:val="24"/>
          <w:lang w:eastAsia="pt-BR"/>
        </w:rPr>
        <w:t xml:space="preserve"> </w:t>
      </w:r>
      <w:r w:rsidRPr="00205E02">
        <w:rPr>
          <w:rFonts w:eastAsia="Times New Roman" w:cs="Times New Roman"/>
          <w:sz w:val="24"/>
          <w:szCs w:val="24"/>
          <w:lang w:eastAsia="pt-BR"/>
        </w:rPr>
        <w:t>contados</w:t>
      </w:r>
      <w:r w:rsidRPr="00961E8E">
        <w:rPr>
          <w:rFonts w:eastAsia="Times New Roman" w:cs="Times New Roman"/>
          <w:sz w:val="24"/>
          <w:szCs w:val="24"/>
          <w:lang w:eastAsia="pt-BR"/>
        </w:rPr>
        <w:t xml:space="preserve"> do recebimento da ordem de fornecimento</w:t>
      </w:r>
      <w:r w:rsidRPr="000F4779">
        <w:rPr>
          <w:rFonts w:eastAsia="Times New Roman" w:cs="Times New Roman"/>
          <w:color w:val="000000"/>
          <w:sz w:val="24"/>
          <w:szCs w:val="24"/>
          <w:lang w:eastAsia="pt-BR"/>
        </w:rPr>
        <w:t>, no CNMP – Conselho Nacional do Ministério Público, localizado no SAFS – Setor de Administração Federal Sul – Quadra 02 – Lote 03, Edifício Adail Belmonte, Brasília/DF, CEP 70070-600.</w:t>
      </w:r>
    </w:p>
    <w:p w14:paraId="4B3C3D05"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Os </w:t>
      </w:r>
      <w:r>
        <w:rPr>
          <w:rFonts w:eastAsia="Times New Roman" w:cs="Times New Roman"/>
          <w:color w:val="000000"/>
          <w:sz w:val="24"/>
          <w:szCs w:val="24"/>
          <w:lang w:eastAsia="pt-BR"/>
        </w:rPr>
        <w:t xml:space="preserve">materiais </w:t>
      </w:r>
      <w:r w:rsidRPr="00205E02">
        <w:rPr>
          <w:rFonts w:eastAsia="Times New Roman" w:cs="Times New Roman"/>
          <w:color w:val="000000"/>
          <w:sz w:val="24"/>
          <w:szCs w:val="24"/>
          <w:lang w:eastAsia="pt-BR"/>
        </w:rPr>
        <w:t>serão recebidos provisoriamente no prazo de 10 (dez) dias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úteis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pelo</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(a)</w:t>
      </w:r>
      <w:r w:rsidRPr="000F4779">
        <w:rPr>
          <w:rFonts w:eastAsia="Times New Roman" w:cs="Times New Roman"/>
          <w:color w:val="000000"/>
          <w:sz w:val="24"/>
          <w:szCs w:val="24"/>
          <w:lang w:eastAsia="pt-BR"/>
        </w:rPr>
        <w:t>, responsável pelo acompanhamento e fiscalização do contrato para efeito de posterior verificação de sua conformidade com as especificações constantes neste Termo de Referência e na proposta.</w:t>
      </w:r>
    </w:p>
    <w:p w14:paraId="60FDBF35"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Os </w:t>
      </w:r>
      <w:r w:rsidRPr="00205E02">
        <w:rPr>
          <w:rFonts w:eastAsia="Times New Roman" w:cs="Times New Roman"/>
          <w:color w:val="000000"/>
          <w:sz w:val="24"/>
          <w:szCs w:val="24"/>
          <w:lang w:eastAsia="pt-BR"/>
        </w:rPr>
        <w:t>equipamentos</w:t>
      </w:r>
      <w:r w:rsidRPr="000F4779">
        <w:rPr>
          <w:rFonts w:eastAsia="Times New Roman" w:cs="Times New Roman"/>
          <w:color w:val="000000"/>
          <w:sz w:val="24"/>
          <w:szCs w:val="24"/>
          <w:lang w:eastAsia="pt-BR"/>
        </w:rPr>
        <w:t xml:space="preserve"> poderão ser rejeitados, no todo ou em parte, quando em desacordo com as especificações constantes neste Termo de Referência e na proposta, devendo ser substituídos no prazo de </w:t>
      </w:r>
      <w:r w:rsidRPr="00205E02">
        <w:rPr>
          <w:rFonts w:eastAsia="Times New Roman" w:cs="Times New Roman"/>
          <w:color w:val="000000"/>
          <w:sz w:val="24"/>
          <w:szCs w:val="24"/>
          <w:lang w:eastAsia="pt-BR"/>
        </w:rPr>
        <w:t>20 (vinte) dias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corridos,</w:t>
      </w:r>
      <w:r>
        <w:rPr>
          <w:rFonts w:eastAsia="Times New Roman" w:cs="Times New Roman"/>
          <w:color w:val="000000"/>
          <w:sz w:val="24"/>
          <w:szCs w:val="24"/>
          <w:lang w:eastAsia="pt-BR"/>
        </w:rPr>
        <w:t xml:space="preserve"> </w:t>
      </w:r>
      <w:r w:rsidRPr="000F4779">
        <w:rPr>
          <w:rFonts w:eastAsia="Times New Roman" w:cs="Times New Roman"/>
          <w:color w:val="000000"/>
          <w:sz w:val="24"/>
          <w:szCs w:val="24"/>
          <w:lang w:eastAsia="pt-BR"/>
        </w:rPr>
        <w:t>a contar da notificação da CONTRATADA, às suas custas, sem prejuízo da aplicação das penalidades.</w:t>
      </w:r>
    </w:p>
    <w:p w14:paraId="019D3EA8"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Os </w:t>
      </w:r>
      <w:r>
        <w:rPr>
          <w:rFonts w:eastAsia="Times New Roman" w:cs="Times New Roman"/>
          <w:color w:val="000000"/>
          <w:sz w:val="24"/>
          <w:szCs w:val="24"/>
          <w:lang w:eastAsia="pt-BR"/>
        </w:rPr>
        <w:t xml:space="preserve">materiais </w:t>
      </w:r>
      <w:r w:rsidRPr="00205E02">
        <w:rPr>
          <w:rFonts w:eastAsia="Times New Roman" w:cs="Times New Roman"/>
          <w:color w:val="000000"/>
          <w:sz w:val="24"/>
          <w:szCs w:val="24"/>
          <w:lang w:eastAsia="pt-BR"/>
        </w:rPr>
        <w:t>serão recebidos definitivamente no prazo de 5(</w:t>
      </w:r>
      <w:r>
        <w:rPr>
          <w:rFonts w:eastAsia="Times New Roman" w:cs="Times New Roman"/>
          <w:color w:val="000000"/>
          <w:sz w:val="24"/>
          <w:szCs w:val="24"/>
          <w:lang w:eastAsia="pt-BR"/>
        </w:rPr>
        <w:t>cinco</w:t>
      </w:r>
      <w:r w:rsidRPr="00205E02">
        <w:rPr>
          <w:rFonts w:eastAsia="Times New Roman" w:cs="Times New Roman"/>
          <w:color w:val="000000"/>
          <w:sz w:val="24"/>
          <w:szCs w:val="24"/>
          <w:lang w:eastAsia="pt-BR"/>
        </w:rPr>
        <w:t>) dias</w:t>
      </w:r>
      <w:r>
        <w:rPr>
          <w:rFonts w:eastAsia="Times New Roman" w:cs="Times New Roman"/>
          <w:color w:val="000000"/>
          <w:sz w:val="24"/>
          <w:szCs w:val="24"/>
          <w:lang w:eastAsia="pt-BR"/>
        </w:rPr>
        <w:t xml:space="preserve"> </w:t>
      </w:r>
      <w:r w:rsidRPr="00205E02">
        <w:rPr>
          <w:rFonts w:eastAsia="Times New Roman" w:cs="Times New Roman"/>
          <w:color w:val="000000"/>
          <w:sz w:val="24"/>
          <w:szCs w:val="24"/>
          <w:lang w:eastAsia="pt-BR"/>
        </w:rPr>
        <w:t>úteis, contad</w:t>
      </w:r>
      <w:r w:rsidRPr="000F4779">
        <w:rPr>
          <w:rFonts w:eastAsia="Times New Roman" w:cs="Times New Roman"/>
          <w:color w:val="000000"/>
          <w:sz w:val="24"/>
          <w:szCs w:val="24"/>
          <w:lang w:eastAsia="pt-BR"/>
        </w:rPr>
        <w:t>os do recebimento provisório, após a verificação da qualidade e quantidade do objeto e consequente aceitação mediante termo circunstanciado.</w:t>
      </w:r>
    </w:p>
    <w:p w14:paraId="087963D0"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Na hipótese de a verificação a que se refere o subitem anterior não ser procedida dentro do prazo fixado, reputar-se-á como realizada, consumando-se o recebimento definitivo no dia do esgotamento do prazo.</w:t>
      </w:r>
    </w:p>
    <w:p w14:paraId="33F6DF8E" w14:textId="77777777" w:rsidR="00F91EEB" w:rsidRPr="00C45D07"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O recebimento provisório ou definitivo do objeto não exclui a responsabilidade da CONTRATADA pelos prejuízos resultantes da incorreta execução do contrato.</w:t>
      </w:r>
    </w:p>
    <w:p w14:paraId="20EB2A62"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OBRIGAÇÕES DO CONTRATANTE</w:t>
      </w:r>
    </w:p>
    <w:p w14:paraId="78C5C0FC"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Proporcionar as facilidades indispensáveis à boa execução das obrigações contratuais.</w:t>
      </w:r>
    </w:p>
    <w:p w14:paraId="558981C3"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Receber o objeto no prazo e condições estabelecidas no Edital e seus anexos.</w:t>
      </w:r>
    </w:p>
    <w:p w14:paraId="174401F7"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lastRenderedPageBreak/>
        <w:t xml:space="preserve">Verificar minuciosamente, no prazo fixado, a conformidade dos bens recebidos provisoriamente com as especificações constantes </w:t>
      </w:r>
      <w:r w:rsidRPr="00A46C98">
        <w:rPr>
          <w:rFonts w:eastAsia="Times New Roman" w:cs="Times New Roman"/>
          <w:sz w:val="24"/>
          <w:szCs w:val="24"/>
          <w:lang w:eastAsia="pt-BR"/>
        </w:rPr>
        <w:t>da ordem de fornecimento e do Termo de Referência e da propo</w:t>
      </w:r>
      <w:r w:rsidRPr="00A46C98">
        <w:rPr>
          <w:rFonts w:eastAsia="Times New Roman" w:cs="Times New Roman"/>
          <w:color w:val="000000"/>
          <w:sz w:val="24"/>
          <w:szCs w:val="24"/>
          <w:lang w:eastAsia="pt-BR"/>
        </w:rPr>
        <w:t>sta</w:t>
      </w:r>
      <w:r>
        <w:rPr>
          <w:rFonts w:eastAsia="Times New Roman" w:cs="Times New Roman"/>
          <w:color w:val="000000"/>
          <w:sz w:val="24"/>
          <w:szCs w:val="24"/>
          <w:lang w:eastAsia="pt-BR"/>
        </w:rPr>
        <w:t xml:space="preserve"> </w:t>
      </w:r>
      <w:r w:rsidRPr="00A46C98">
        <w:rPr>
          <w:rFonts w:eastAsia="Times New Roman" w:cs="Times New Roman"/>
          <w:color w:val="000000"/>
          <w:sz w:val="24"/>
          <w:szCs w:val="24"/>
          <w:lang w:eastAsia="pt-BR"/>
        </w:rPr>
        <w:t>para fins de aceitação e</w:t>
      </w:r>
      <w:r w:rsidRPr="000F4779">
        <w:rPr>
          <w:rFonts w:eastAsia="Times New Roman" w:cs="Times New Roman"/>
          <w:color w:val="000000"/>
          <w:sz w:val="24"/>
          <w:szCs w:val="24"/>
          <w:lang w:eastAsia="pt-BR"/>
        </w:rPr>
        <w:t xml:space="preserve"> recebimento.</w:t>
      </w:r>
    </w:p>
    <w:p w14:paraId="270C1854"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Comunicar à CONTRATADA, por escrito, sobre imperfeições, falhas ou irregularidades verificadas no objeto fornecido, fixando prazo para que seja substituído, reparado ou corrigido.</w:t>
      </w:r>
    </w:p>
    <w:p w14:paraId="160E1FD1" w14:textId="77777777" w:rsidR="00F91EEB" w:rsidRPr="00A46C98"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0F4779">
        <w:rPr>
          <w:rFonts w:eastAsia="Times New Roman" w:cs="Times New Roman"/>
          <w:color w:val="000000"/>
          <w:sz w:val="24"/>
          <w:szCs w:val="24"/>
          <w:lang w:eastAsia="pt-BR"/>
        </w:rPr>
        <w:t xml:space="preserve">Efetuar o pagamento à CONTRATADA no valor correspondente ao fornecimento do objeto, no prazo e forma </w:t>
      </w:r>
      <w:r w:rsidRPr="00A46C98">
        <w:rPr>
          <w:rFonts w:eastAsia="Times New Roman" w:cs="Times New Roman"/>
          <w:sz w:val="24"/>
          <w:szCs w:val="24"/>
          <w:lang w:eastAsia="pt-BR"/>
        </w:rPr>
        <w:t>estabelecidos na</w:t>
      </w:r>
      <w:r>
        <w:rPr>
          <w:rFonts w:eastAsia="Times New Roman" w:cs="Times New Roman"/>
          <w:sz w:val="24"/>
          <w:szCs w:val="24"/>
          <w:lang w:eastAsia="pt-BR"/>
        </w:rPr>
        <w:t xml:space="preserve"> </w:t>
      </w:r>
      <w:r w:rsidRPr="00A46C98">
        <w:rPr>
          <w:rFonts w:eastAsia="Times New Roman" w:cs="Times New Roman"/>
          <w:sz w:val="24"/>
          <w:szCs w:val="24"/>
          <w:lang w:eastAsia="pt-BR"/>
        </w:rPr>
        <w:t xml:space="preserve">seção </w:t>
      </w:r>
      <w:r>
        <w:rPr>
          <w:rFonts w:eastAsia="Times New Roman" w:cs="Times New Roman"/>
          <w:sz w:val="24"/>
          <w:szCs w:val="24"/>
          <w:lang w:eastAsia="pt-BR"/>
        </w:rPr>
        <w:t xml:space="preserve">13. </w:t>
      </w:r>
      <w:r w:rsidRPr="00A46C98">
        <w:rPr>
          <w:rFonts w:eastAsia="Times New Roman" w:cs="Times New Roman"/>
          <w:sz w:val="24"/>
          <w:szCs w:val="24"/>
          <w:lang w:eastAsia="pt-BR"/>
        </w:rPr>
        <w:t>Condições de Pagamento.</w:t>
      </w:r>
    </w:p>
    <w:p w14:paraId="36E74B79"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 CONTRATANTE não responderá por quaisquer compromissos assumidos pela CONTRATADA com terceiros, ainda que vinculados à execução do </w:t>
      </w:r>
      <w:r>
        <w:rPr>
          <w:rFonts w:eastAsia="Times New Roman" w:cs="Times New Roman"/>
          <w:color w:val="000000"/>
          <w:sz w:val="24"/>
          <w:szCs w:val="24"/>
          <w:lang w:eastAsia="pt-BR"/>
        </w:rPr>
        <w:t>objeto</w:t>
      </w:r>
      <w:r w:rsidRPr="000F4779">
        <w:rPr>
          <w:rFonts w:eastAsia="Times New Roman" w:cs="Times New Roman"/>
          <w:color w:val="000000"/>
          <w:sz w:val="24"/>
          <w:szCs w:val="24"/>
          <w:lang w:eastAsia="pt-BR"/>
        </w:rPr>
        <w:t>, bem como por qualquer dano causado a terceiros em decorrência de ato da CONTRATADA, de seus empregados, prepostos ou subordinados.</w:t>
      </w:r>
    </w:p>
    <w:p w14:paraId="624743C9"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Aplicar </w:t>
      </w:r>
      <w:r>
        <w:rPr>
          <w:rFonts w:eastAsia="Times New Roman" w:cs="Times New Roman"/>
          <w:color w:val="000000"/>
          <w:sz w:val="24"/>
          <w:szCs w:val="24"/>
          <w:lang w:eastAsia="pt-BR"/>
        </w:rPr>
        <w:t xml:space="preserve">as sanções, conforme previsto </w:t>
      </w:r>
      <w:r w:rsidRPr="000F4779">
        <w:rPr>
          <w:rFonts w:eastAsia="Times New Roman" w:cs="Times New Roman"/>
          <w:color w:val="000000"/>
          <w:sz w:val="24"/>
          <w:szCs w:val="24"/>
          <w:lang w:eastAsia="pt-BR"/>
        </w:rPr>
        <w:t>no edital e em seus anexos.</w:t>
      </w:r>
    </w:p>
    <w:p w14:paraId="63006643"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Prestar todas as informações e esclarecimentos pertinentes ao objeto contratado, que venham a ser solicitadas pelos técnicos da CONTRATADA.</w:t>
      </w:r>
    </w:p>
    <w:p w14:paraId="215FF5ED" w14:textId="77777777" w:rsidR="00F91EEB" w:rsidRPr="00794B8E"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Ordenar a imediata retirada do local, bem como a substituição, de empregado da CONTRATADA que estiver sem uniforme ou crachá de identificação, que atrapalhar ou dificultar a fiscalização, ou cuja conduta esteja inadequada, a critério do CNMP.</w:t>
      </w:r>
    </w:p>
    <w:p w14:paraId="796A59EA" w14:textId="77777777" w:rsidR="00F91EEB" w:rsidRPr="00E26793"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Anotar em registro próprio e notificar à CONTRATADA, por escrito, a ocorrência de eventuais imperfeições no curso</w:t>
      </w:r>
      <w:r>
        <w:rPr>
          <w:rFonts w:eastAsia="Times New Roman" w:cs="Times New Roman"/>
          <w:color w:val="000000"/>
          <w:sz w:val="24"/>
          <w:szCs w:val="24"/>
          <w:lang w:eastAsia="pt-BR"/>
        </w:rPr>
        <w:t xml:space="preserve"> </w:t>
      </w:r>
      <w:r w:rsidRPr="000402F4">
        <w:rPr>
          <w:rFonts w:eastAsia="Times New Roman" w:cs="Times New Roman"/>
          <w:color w:val="000000" w:themeColor="text1"/>
          <w:sz w:val="24"/>
          <w:szCs w:val="24"/>
          <w:lang w:eastAsia="pt-BR"/>
        </w:rPr>
        <w:t>da entrega do objeto</w:t>
      </w:r>
      <w:r w:rsidRPr="000F4779">
        <w:rPr>
          <w:rFonts w:eastAsia="Times New Roman" w:cs="Times New Roman"/>
          <w:color w:val="000000"/>
          <w:sz w:val="24"/>
          <w:szCs w:val="24"/>
          <w:lang w:eastAsia="pt-BR"/>
        </w:rPr>
        <w:t>, fixando prazo para a sua correção.</w:t>
      </w:r>
    </w:p>
    <w:p w14:paraId="00085787"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OBRIGAÇÕES DA CONTRATADA</w:t>
      </w:r>
    </w:p>
    <w:p w14:paraId="5B1290B6"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 cumprir todas as obrigações constantes neste Termo de Referência</w:t>
      </w:r>
      <w:r>
        <w:rPr>
          <w:rFonts w:eastAsia="Times New Roman" w:cs="Times New Roman"/>
          <w:color w:val="000000"/>
          <w:sz w:val="24"/>
          <w:szCs w:val="24"/>
          <w:lang w:eastAsia="pt-BR"/>
        </w:rPr>
        <w:t xml:space="preserve"> </w:t>
      </w:r>
      <w:r w:rsidRPr="000F4779">
        <w:rPr>
          <w:rFonts w:eastAsia="Times New Roman" w:cs="Times New Roman"/>
          <w:color w:val="000000"/>
          <w:sz w:val="24"/>
          <w:szCs w:val="24"/>
          <w:lang w:eastAsia="pt-BR"/>
        </w:rPr>
        <w:t xml:space="preserve">e </w:t>
      </w:r>
      <w:r>
        <w:rPr>
          <w:rFonts w:eastAsia="Times New Roman" w:cs="Times New Roman"/>
          <w:color w:val="000000"/>
          <w:sz w:val="24"/>
          <w:szCs w:val="24"/>
          <w:lang w:eastAsia="pt-BR"/>
        </w:rPr>
        <w:t xml:space="preserve">em </w:t>
      </w:r>
      <w:r w:rsidRPr="000F4779">
        <w:rPr>
          <w:rFonts w:eastAsia="Times New Roman" w:cs="Times New Roman"/>
          <w:color w:val="000000"/>
          <w:sz w:val="24"/>
          <w:szCs w:val="24"/>
          <w:lang w:eastAsia="pt-BR"/>
        </w:rPr>
        <w:t>sua proposta, assumindo como exclusivamente seus os riscos e as despesas decorrentes da boa e perfeita execução do objeto e, ainda:</w:t>
      </w:r>
    </w:p>
    <w:p w14:paraId="72467892"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Efetuar a entrega do objeto em perfeitas condições, conforme especificações, prazo e local constantes na</w:t>
      </w:r>
      <w:r>
        <w:rPr>
          <w:rFonts w:eastAsia="Times New Roman" w:cs="Times New Roman"/>
          <w:color w:val="000000"/>
          <w:sz w:val="24"/>
          <w:szCs w:val="24"/>
          <w:lang w:eastAsia="pt-BR"/>
        </w:rPr>
        <w:t xml:space="preserve"> </w:t>
      </w:r>
      <w:r w:rsidRPr="00794B8E">
        <w:rPr>
          <w:rFonts w:eastAsia="Times New Roman" w:cs="Times New Roman"/>
          <w:sz w:val="24"/>
          <w:szCs w:val="24"/>
          <w:lang w:eastAsia="pt-BR"/>
        </w:rPr>
        <w:t xml:space="preserve">seção </w:t>
      </w:r>
      <w:r>
        <w:rPr>
          <w:rFonts w:eastAsia="Times New Roman" w:cs="Times New Roman"/>
          <w:sz w:val="24"/>
          <w:szCs w:val="24"/>
          <w:lang w:eastAsia="pt-BR"/>
        </w:rPr>
        <w:t xml:space="preserve">06 </w:t>
      </w:r>
      <w:r w:rsidRPr="00794B8E">
        <w:rPr>
          <w:rFonts w:eastAsia="Times New Roman" w:cs="Times New Roman"/>
          <w:sz w:val="24"/>
          <w:szCs w:val="24"/>
          <w:lang w:eastAsia="pt-BR"/>
        </w:rPr>
        <w:t>e seus subitens</w:t>
      </w:r>
      <w:r w:rsidRPr="000F4779">
        <w:rPr>
          <w:rFonts w:eastAsia="Times New Roman" w:cs="Times New Roman"/>
          <w:color w:val="000000"/>
          <w:sz w:val="24"/>
          <w:szCs w:val="24"/>
          <w:lang w:eastAsia="pt-BR"/>
        </w:rPr>
        <w:t>, acompanhado da respectiva nota fiscal, na qual constarão as indicações referentes a: marca, fabricante, modelo, procedência, se for o caso, e prazo de garantia ou validade</w:t>
      </w:r>
      <w:r>
        <w:rPr>
          <w:rFonts w:eastAsia="Times New Roman" w:cs="Times New Roman"/>
          <w:color w:val="000000"/>
          <w:sz w:val="24"/>
          <w:szCs w:val="24"/>
          <w:lang w:eastAsia="pt-BR"/>
        </w:rPr>
        <w:t>.</w:t>
      </w:r>
    </w:p>
    <w:p w14:paraId="148C7A71" w14:textId="77777777" w:rsidR="00F91EEB"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Substituir, reparar ou corrigir, às suas expensas, no prazo de </w:t>
      </w:r>
      <w:r w:rsidRPr="00205E02">
        <w:rPr>
          <w:rFonts w:eastAsia="Times New Roman" w:cs="Times New Roman"/>
          <w:color w:val="000000"/>
          <w:sz w:val="24"/>
          <w:szCs w:val="24"/>
          <w:lang w:eastAsia="pt-BR"/>
        </w:rPr>
        <w:t>5 (cinco) dias corridos, contados a partir da notificação pelo CONTRATANTE, o objeto</w:t>
      </w:r>
      <w:r w:rsidRPr="000F4779">
        <w:rPr>
          <w:rFonts w:eastAsia="Times New Roman" w:cs="Times New Roman"/>
          <w:color w:val="000000"/>
          <w:sz w:val="24"/>
          <w:szCs w:val="24"/>
          <w:lang w:eastAsia="pt-BR"/>
        </w:rPr>
        <w:t xml:space="preserve"> com avarias ou defeitos</w:t>
      </w:r>
      <w:r>
        <w:rPr>
          <w:rFonts w:eastAsia="Times New Roman" w:cs="Times New Roman"/>
          <w:color w:val="000000"/>
          <w:sz w:val="24"/>
          <w:szCs w:val="24"/>
          <w:lang w:eastAsia="pt-BR"/>
        </w:rPr>
        <w:t>.</w:t>
      </w:r>
    </w:p>
    <w:p w14:paraId="6C420F33" w14:textId="77777777" w:rsidR="00F91EEB" w:rsidRPr="00F54566" w:rsidRDefault="00F91EEB" w:rsidP="00F91EEB">
      <w:pPr>
        <w:pStyle w:val="PargrafodaLista"/>
        <w:numPr>
          <w:ilvl w:val="2"/>
          <w:numId w:val="133"/>
        </w:numPr>
        <w:suppressAutoHyphens w:val="0"/>
        <w:contextualSpacing/>
        <w:textAlignment w:val="auto"/>
        <w:rPr>
          <w:rFonts w:eastAsia="Times New Roman" w:cs="Times New Roman"/>
          <w:color w:val="000000"/>
          <w:sz w:val="24"/>
          <w:szCs w:val="24"/>
          <w:lang w:eastAsia="pt-BR"/>
        </w:rPr>
      </w:pPr>
      <w:r w:rsidRPr="00F54566">
        <w:rPr>
          <w:rFonts w:eastAsia="Times New Roman" w:cs="Times New Roman"/>
          <w:color w:val="000000"/>
          <w:sz w:val="24"/>
          <w:szCs w:val="24"/>
          <w:lang w:eastAsia="pt-BR"/>
        </w:rPr>
        <w:lastRenderedPageBreak/>
        <w:t>Em caso de saída do equipamento para reparo ou manutenção, a empresa deverá deixar outro equipamento como substituto provisório.</w:t>
      </w:r>
    </w:p>
    <w:p w14:paraId="3D4E02AD"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 relacionar-se com o CONTRATANTE, exclusivamente, por meio do fiscal do contrato, e preferencialmente, por escrito.</w:t>
      </w:r>
    </w:p>
    <w:p w14:paraId="74C97718"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A CONTRATADA deverá prestar esclarecimentos ao CNMP e sujeitar-se às orientações do </w:t>
      </w:r>
      <w:r>
        <w:rPr>
          <w:rFonts w:eastAsia="Times New Roman" w:cs="Times New Roman"/>
          <w:color w:val="000000"/>
          <w:sz w:val="24"/>
          <w:szCs w:val="24"/>
          <w:lang w:eastAsia="pt-BR"/>
        </w:rPr>
        <w:t>responsável pela fiscalização</w:t>
      </w:r>
      <w:r w:rsidRPr="000F4779">
        <w:rPr>
          <w:rFonts w:eastAsia="Times New Roman" w:cs="Times New Roman"/>
          <w:color w:val="000000"/>
          <w:sz w:val="24"/>
          <w:szCs w:val="24"/>
          <w:lang w:eastAsia="pt-BR"/>
        </w:rPr>
        <w:t xml:space="preserve"> do contrato.</w:t>
      </w:r>
    </w:p>
    <w:p w14:paraId="6FEAC229"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é obrigada a reparar, corrigir, remover, reconstruir ou substituir, às suas expensas, no total ou em parte, o objeto do contrato em que se verificarem vícios, defeitos, avarias ou incorreções.</w:t>
      </w:r>
    </w:p>
    <w:p w14:paraId="1C279535"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Relatar ao CONTRATANTE, no prazo máximo de </w:t>
      </w:r>
      <w:r w:rsidRPr="00205E02">
        <w:rPr>
          <w:rFonts w:eastAsia="Times New Roman" w:cs="Times New Roman"/>
          <w:color w:val="000000"/>
          <w:sz w:val="24"/>
          <w:szCs w:val="24"/>
          <w:lang w:eastAsia="pt-BR"/>
        </w:rPr>
        <w:t>2 (dois) dias úteis,</w:t>
      </w:r>
      <w:r w:rsidRPr="000F4779">
        <w:rPr>
          <w:rFonts w:eastAsia="Times New Roman" w:cs="Times New Roman"/>
          <w:color w:val="000000"/>
          <w:sz w:val="24"/>
          <w:szCs w:val="24"/>
          <w:lang w:eastAsia="pt-BR"/>
        </w:rPr>
        <w:t xml:space="preserve"> irregularidades ocorridas que impeçam, alt</w:t>
      </w:r>
      <w:r>
        <w:rPr>
          <w:rFonts w:eastAsia="Times New Roman" w:cs="Times New Roman"/>
          <w:color w:val="000000"/>
          <w:sz w:val="24"/>
          <w:szCs w:val="24"/>
          <w:lang w:eastAsia="pt-BR"/>
        </w:rPr>
        <w:t>erem ou retardem o fornecimento do objeto</w:t>
      </w:r>
      <w:r w:rsidRPr="000F4779">
        <w:rPr>
          <w:rFonts w:eastAsia="Times New Roman" w:cs="Times New Roman"/>
          <w:color w:val="000000"/>
          <w:sz w:val="24"/>
          <w:szCs w:val="24"/>
          <w:lang w:eastAsia="pt-BR"/>
        </w:rPr>
        <w:t>, efetuando o registro da ocorrência com todos os dados e circunstâncias necessárias a seu esclarecimento, sem prejuízo da análise da administração e das sanções previstas.</w:t>
      </w:r>
    </w:p>
    <w:p w14:paraId="3593E4E7"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Manter, durante toda a execução do contrato, em compatibilidade com as obrigações por ele assumidas, todas as condições de habilitação e qualificação ex</w:t>
      </w:r>
      <w:r>
        <w:rPr>
          <w:rFonts w:eastAsia="Times New Roman" w:cs="Times New Roman"/>
          <w:color w:val="000000"/>
          <w:sz w:val="24"/>
          <w:szCs w:val="24"/>
          <w:lang w:eastAsia="pt-BR"/>
        </w:rPr>
        <w:t>igidas na licitação (Art. 55, X</w:t>
      </w:r>
      <w:r w:rsidRPr="000F4779">
        <w:rPr>
          <w:rFonts w:eastAsia="Times New Roman" w:cs="Times New Roman"/>
          <w:color w:val="000000"/>
          <w:sz w:val="24"/>
          <w:szCs w:val="24"/>
          <w:lang w:eastAsia="pt-BR"/>
        </w:rPr>
        <w:t>III Lei 8.666/93).</w:t>
      </w:r>
    </w:p>
    <w:p w14:paraId="05C132CF"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O contratado é responsável pelos danos causados diretamente à Administração ou a terceiros, decorrentes de sua culpa ou dolo na execução do contrato (Art. 70 Lei 8.666/93).</w:t>
      </w:r>
    </w:p>
    <w:p w14:paraId="5FC6EE36"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A CONTRATADA deve zelar pelas instalações do CONTRATANTE.</w:t>
      </w:r>
    </w:p>
    <w:p w14:paraId="6DAD849A"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 responsabilizar-se por quaisquer acidentes de trabalho sofridos pelos seus empregados quando em serviço.</w:t>
      </w:r>
    </w:p>
    <w:p w14:paraId="34C4F2DE"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b/>
          <w:color w:val="000000"/>
          <w:sz w:val="24"/>
          <w:szCs w:val="24"/>
          <w:lang w:eastAsia="pt-BR"/>
        </w:rPr>
      </w:pPr>
      <w:r w:rsidRPr="000F4779">
        <w:rPr>
          <w:rFonts w:eastAsia="Times New Roman" w:cs="Times New Roman"/>
          <w:color w:val="000000"/>
          <w:sz w:val="24"/>
          <w:szCs w:val="24"/>
          <w:lang w:eastAsia="pt-BR"/>
        </w:rPr>
        <w:t>A CONTRATADA deve observar rigorosamente as normas regulamentadoras de segurança do trabalho.</w:t>
      </w:r>
    </w:p>
    <w:p w14:paraId="02A61049" w14:textId="77777777" w:rsidR="00F91EEB" w:rsidRPr="000402F4"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402F4">
        <w:rPr>
          <w:rFonts w:eastAsia="Times New Roman" w:cs="Times New Roman"/>
          <w:color w:val="000000"/>
          <w:sz w:val="24"/>
          <w:szCs w:val="24"/>
          <w:lang w:eastAsia="pt-BR"/>
        </w:rPr>
        <w:t>A CONTRATADA obriga-se a manter, nas dependências do CONTRATANTE, os funcionários identificados e uniformizados de maneira condizente com o serviço, observando ainda as normas internas e de segurança.</w:t>
      </w:r>
    </w:p>
    <w:p w14:paraId="37CB67A2" w14:textId="77777777" w:rsidR="00F91EEB" w:rsidRPr="000402F4"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A CONTRATADA é obrigada a disponibilizar e manter atualizados conta de e-mail, endereço e telefones comerciais para fins de comunicação formal entre as partes.</w:t>
      </w:r>
    </w:p>
    <w:p w14:paraId="115384A7"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lastRenderedPageBreak/>
        <w:t>É vedado à CONTRATADA caucionar ou utilizar o contrato para quaisquer operações financeiras.</w:t>
      </w:r>
    </w:p>
    <w:p w14:paraId="4C14BA22"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É vedado à CONTRATADA utilizar o nome do CONTRATANTE, ou sua qualidade de CONTRATADA, em quaisquer atividades de divulgação empresarial, como, por exemplo, em cartões de visita, anúncios e impressos.</w:t>
      </w:r>
    </w:p>
    <w:p w14:paraId="52357E6C" w14:textId="77777777" w:rsidR="00F91EEB" w:rsidRPr="000F4779"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93FC76E" w14:textId="77777777" w:rsidR="00F91EEB" w:rsidRPr="00410350" w:rsidRDefault="00F91EEB" w:rsidP="00F91EEB">
      <w:pPr>
        <w:pStyle w:val="PargrafodaLista"/>
        <w:numPr>
          <w:ilvl w:val="2"/>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O objeto deve estar acompanhado do manual do usuário, com uma versão em português e da relação da rede de assistência técnica autorizada</w:t>
      </w:r>
      <w:r>
        <w:rPr>
          <w:rFonts w:eastAsia="Times New Roman" w:cs="Times New Roman"/>
          <w:color w:val="000000"/>
          <w:sz w:val="24"/>
          <w:szCs w:val="24"/>
          <w:lang w:eastAsia="pt-BR"/>
        </w:rPr>
        <w:t xml:space="preserve">. </w:t>
      </w:r>
    </w:p>
    <w:p w14:paraId="4ED2AAC4"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DA SUBCONTRATAÇÃO</w:t>
      </w:r>
    </w:p>
    <w:p w14:paraId="02EDF8F3"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Não será admitida a subcontratação do objeto licitatório.</w:t>
      </w:r>
    </w:p>
    <w:p w14:paraId="7E742A49" w14:textId="77777777" w:rsidR="00F91EEB" w:rsidRPr="002969F6"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É vedada a sub-rogação completa ou da parcela principal da obrigação.</w:t>
      </w:r>
    </w:p>
    <w:p w14:paraId="49873293"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CRITÉRIOS PARA JULGAMENTO E ELABORAÇÃO DAS PROPOSTAS</w:t>
      </w:r>
    </w:p>
    <w:p w14:paraId="62AC0C24"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proposta apresentada deverá conter o CNPJ da proponente, prazo de validade e ser endereçada ao Conselho Nacional do Ministério Público – CNMP;</w:t>
      </w:r>
    </w:p>
    <w:p w14:paraId="7D5A99A4" w14:textId="77777777" w:rsidR="00F91EEB" w:rsidRPr="00205E02"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 </w:t>
      </w:r>
      <w:r w:rsidRPr="00E27CEE">
        <w:rPr>
          <w:rFonts w:eastAsia="Times New Roman" w:cs="Times New Roman"/>
          <w:sz w:val="24"/>
          <w:szCs w:val="24"/>
          <w:lang w:eastAsia="pt-BR"/>
        </w:rPr>
        <w:t>julgamento das propostas se dará pelo menor preço por item e por lote conforme cada caso;</w:t>
      </w:r>
    </w:p>
    <w:p w14:paraId="17C51D3F"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Nos preços da proposta deverão estar inclusos todas as despesas e custos diretos e indiretos, como impostos, taxas e fretes;</w:t>
      </w:r>
    </w:p>
    <w:p w14:paraId="7FFFA651"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proposta deverá conter marca e modelo do equipamento a ser fornecido;</w:t>
      </w:r>
    </w:p>
    <w:p w14:paraId="0D9C669E" w14:textId="77777777" w:rsidR="00F91EEB" w:rsidRPr="00D92877" w:rsidRDefault="00F91EEB" w:rsidP="00F91EEB">
      <w:pPr>
        <w:pStyle w:val="PargrafodaLista"/>
        <w:numPr>
          <w:ilvl w:val="1"/>
          <w:numId w:val="133"/>
        </w:numPr>
        <w:suppressAutoHyphens w:val="0"/>
        <w:spacing w:line="360" w:lineRule="auto"/>
        <w:ind w:left="0" w:firstLine="0"/>
        <w:contextualSpacing/>
        <w:jc w:val="both"/>
        <w:textAlignment w:val="auto"/>
        <w:rPr>
          <w:rFonts w:eastAsia="Times New Roman" w:cs="Times New Roman"/>
          <w:color w:val="000000"/>
          <w:sz w:val="24"/>
          <w:szCs w:val="24"/>
          <w:lang w:eastAsia="pt-BR"/>
        </w:rPr>
      </w:pPr>
      <w:r w:rsidRPr="00D92877">
        <w:rPr>
          <w:rFonts w:eastAsia="Times New Roman" w:cs="Times New Roman"/>
          <w:color w:val="000000"/>
          <w:sz w:val="24"/>
          <w:szCs w:val="24"/>
          <w:lang w:eastAsia="pt-BR"/>
        </w:rPr>
        <w:t xml:space="preserve">As proponentes deverão apresentar preços unitários e totais, conforme o quadro </w:t>
      </w:r>
      <w:r w:rsidRPr="00D92877">
        <w:rPr>
          <w:rFonts w:eastAsia="Times New Roman" w:cs="Times New Roman"/>
          <w:sz w:val="24"/>
          <w:szCs w:val="24"/>
          <w:lang w:eastAsia="pt-BR"/>
        </w:rPr>
        <w:t>presente no anexo I – Planilha de composição de preços.</w:t>
      </w:r>
    </w:p>
    <w:p w14:paraId="4419722C"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ALTERAÇÃO SUBJETIVA</w:t>
      </w:r>
    </w:p>
    <w:p w14:paraId="1F3DD35C" w14:textId="77777777" w:rsidR="00F91EEB" w:rsidRPr="00410350"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0F4779">
        <w:rPr>
          <w:rFonts w:eastAsia="Times New Roman" w:cs="Times New Roman"/>
          <w:color w:val="000000"/>
          <w:sz w:val="24"/>
          <w:szCs w:val="24"/>
          <w:lang w:eastAsia="pt-BR"/>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w:t>
      </w:r>
      <w:r w:rsidRPr="007A1DDF">
        <w:rPr>
          <w:rFonts w:eastAsia="Times New Roman" w:cs="Times New Roman"/>
          <w:sz w:val="24"/>
          <w:szCs w:val="24"/>
          <w:lang w:eastAsia="pt-BR"/>
        </w:rPr>
        <w:t>à execução do objeto pactuado e haja a anuência expressa da Administração à continuidade do contrato.</w:t>
      </w:r>
    </w:p>
    <w:p w14:paraId="21E22DF1" w14:textId="77777777" w:rsidR="00F91EEB" w:rsidRPr="00BE49AE"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sz w:val="24"/>
          <w:szCs w:val="24"/>
          <w:lang w:eastAsia="pt-BR"/>
        </w:rPr>
      </w:pPr>
      <w:r w:rsidRPr="00BE49AE">
        <w:rPr>
          <w:rFonts w:eastAsia="Times New Roman" w:cs="Times New Roman"/>
          <w:b/>
          <w:bCs/>
          <w:caps/>
          <w:sz w:val="24"/>
          <w:szCs w:val="24"/>
          <w:lang w:eastAsia="pt-BR"/>
        </w:rPr>
        <w:lastRenderedPageBreak/>
        <w:t>CONTROLE DA EXECUÇÃO</w:t>
      </w:r>
    </w:p>
    <w:p w14:paraId="7D092EE5" w14:textId="77777777" w:rsidR="00F91EEB" w:rsidRPr="00BE49AE"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BE49AE">
        <w:rPr>
          <w:rFonts w:eastAsia="Times New Roman" w:cs="Times New Roman"/>
          <w:sz w:val="24"/>
          <w:szCs w:val="24"/>
          <w:lang w:eastAsia="pt-BR"/>
        </w:rPr>
        <w:t xml:space="preserve">Nos termos do art. 33 da Portaria CNMP-SG 147/2017, às atribuições dos fiscais de 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 </w:t>
      </w:r>
    </w:p>
    <w:p w14:paraId="6458F7CF" w14:textId="77777777" w:rsidR="00F91EEB" w:rsidRPr="00C45D07"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C45D07">
        <w:rPr>
          <w:rFonts w:eastAsia="Times New Roman" w:cs="Times New Roman"/>
          <w:sz w:val="24"/>
          <w:szCs w:val="24"/>
          <w:lang w:eastAsia="pt-BR"/>
        </w:rPr>
        <w:t>A ordem de fornecimento, acompanhada da Nota de Empenho, constituirá documento de</w:t>
      </w:r>
      <w:r>
        <w:rPr>
          <w:rFonts w:eastAsia="Times New Roman" w:cs="Times New Roman"/>
          <w:sz w:val="24"/>
          <w:szCs w:val="24"/>
          <w:lang w:eastAsia="pt-BR"/>
        </w:rPr>
        <w:t xml:space="preserve"> autorização para a execução do</w:t>
      </w:r>
      <w:r w:rsidRPr="00C45D07">
        <w:rPr>
          <w:rFonts w:eastAsia="Times New Roman" w:cs="Times New Roman"/>
          <w:sz w:val="24"/>
          <w:szCs w:val="24"/>
          <w:lang w:eastAsia="pt-BR"/>
        </w:rPr>
        <w:t xml:space="preserve"> objeto.</w:t>
      </w:r>
    </w:p>
    <w:p w14:paraId="44279A57" w14:textId="77777777" w:rsidR="00F91EEB" w:rsidRPr="00BE49AE"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BE49AE">
        <w:rPr>
          <w:rFonts w:eastAsia="Times New Roman" w:cs="Times New Roman"/>
          <w:sz w:val="24"/>
          <w:szCs w:val="24"/>
          <w:lang w:eastAsia="pt-BR"/>
        </w:rPr>
        <w:t>O representante da Coordenadoria de Gestão de Bens e Serviços</w:t>
      </w:r>
      <w:r>
        <w:rPr>
          <w:rFonts w:eastAsia="Times New Roman" w:cs="Times New Roman"/>
          <w:sz w:val="24"/>
          <w:szCs w:val="24"/>
          <w:lang w:eastAsia="pt-BR"/>
        </w:rPr>
        <w:t xml:space="preserve"> </w:t>
      </w:r>
      <w:r w:rsidRPr="00BE49AE">
        <w:rPr>
          <w:rFonts w:eastAsia="Times New Roman" w:cs="Times New Roman"/>
          <w:sz w:val="24"/>
          <w:szCs w:val="24"/>
          <w:lang w:eastAsia="pt-BR"/>
        </w:rPr>
        <w:t>do CNMP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E58C2CA" w14:textId="77777777" w:rsidR="00F91EEB" w:rsidRPr="007A1DDF"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sz w:val="24"/>
          <w:szCs w:val="24"/>
          <w:lang w:eastAsia="pt-BR"/>
        </w:rPr>
      </w:pPr>
      <w:r w:rsidRPr="007A1DDF">
        <w:rPr>
          <w:rFonts w:eastAsia="Times New Roman" w:cs="Times New Roman"/>
          <w:sz w:val="24"/>
          <w:szCs w:val="24"/>
          <w:lang w:eastAsia="pt-BR"/>
        </w:rPr>
        <w:t>O Conselho Nacional do Ministério Público poderá rejeitar o objeto, no todo ou em parte, se em desacordo com este termo de referência;</w:t>
      </w:r>
    </w:p>
    <w:p w14:paraId="6E358849" w14:textId="77777777" w:rsidR="00F91EEB" w:rsidRPr="00C45D07"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b/>
          <w:bCs/>
          <w:caps/>
          <w:sz w:val="24"/>
          <w:szCs w:val="24"/>
          <w:lang w:eastAsia="pt-BR"/>
        </w:rPr>
      </w:pPr>
      <w:r w:rsidRPr="007A1DDF">
        <w:rPr>
          <w:rFonts w:eastAsia="Times New Roman" w:cs="Times New Roman"/>
          <w:sz w:val="24"/>
          <w:szCs w:val="24"/>
          <w:lang w:eastAsia="pt-BR"/>
        </w:rPr>
        <w:t>Quaisquer exigências da Fiscalização, inerentes ao objeto da presente contratação, deverão ser prontamente atendidas pela Contratada.</w:t>
      </w:r>
    </w:p>
    <w:p w14:paraId="16BA4E9C" w14:textId="77777777" w:rsidR="00F91EEB" w:rsidRPr="000F4779"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CONDIÇÕES DE PAGAMENTO</w:t>
      </w:r>
    </w:p>
    <w:p w14:paraId="04667458" w14:textId="77777777" w:rsidR="00F91EEB" w:rsidRPr="009D1150"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9D1150">
        <w:rPr>
          <w:rFonts w:eastAsia="Times New Roman" w:cs="Times New Roman"/>
          <w:color w:val="000000"/>
          <w:sz w:val="24"/>
          <w:szCs w:val="24"/>
          <w:lang w:eastAsia="pt-BR"/>
        </w:rPr>
        <w:t>O CONTRATANTE pagará à CONTRATADA pelo fornecimento efetivamente executado, em até 5 (cinco) dias úteis, contados a partir da data de recebimento definitivo do objeto, acompanhada do atesto do Fiscal do contrato, conforme o disposto nos artigos 5º §3º, 67 e 73 da Lei 8.666/93</w:t>
      </w:r>
    </w:p>
    <w:p w14:paraId="6989F3E3" w14:textId="77777777" w:rsidR="00F91EEB" w:rsidRPr="009D1150"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9D1150">
        <w:rPr>
          <w:rFonts w:eastAsia="Times New Roman" w:cs="Times New Roman"/>
          <w:color w:val="000000"/>
          <w:sz w:val="24"/>
          <w:szCs w:val="24"/>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C5E33D6"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O pagamento será feito por meio de depósito na </w:t>
      </w:r>
      <w:proofErr w:type="spellStart"/>
      <w:r w:rsidRPr="000F4779">
        <w:rPr>
          <w:rFonts w:eastAsia="Times New Roman" w:cs="Times New Roman"/>
          <w:color w:val="000000"/>
          <w:sz w:val="24"/>
          <w:szCs w:val="24"/>
          <w:lang w:eastAsia="pt-BR"/>
        </w:rPr>
        <w:t>conta-corrente</w:t>
      </w:r>
      <w:proofErr w:type="spellEnd"/>
      <w:r w:rsidRPr="000F4779">
        <w:rPr>
          <w:rFonts w:eastAsia="Times New Roman" w:cs="Times New Roman"/>
          <w:color w:val="000000"/>
          <w:sz w:val="24"/>
          <w:szCs w:val="24"/>
          <w:lang w:eastAsia="pt-BR"/>
        </w:rPr>
        <w:t xml:space="preserve"> da CONTRATADA, através de Ordem Bancária, mediante apresentação da respectiva Nota Fiscal/Fatura do fornecimento.</w:t>
      </w:r>
    </w:p>
    <w:p w14:paraId="74F799EA"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Para execução do pagamento de que trata a presente Cláusula, A CONTRATADA deverá fazer constar como beneficiário/cliente, da Nota Fiscal/Fatura correspondente, emitida sem rasuras, o CONSELHO NACIONAL do MINISTÉRIO PÚBLICO, CNPJ nº 11.439.520/0001-11, e </w:t>
      </w:r>
      <w:r w:rsidRPr="000F4779">
        <w:rPr>
          <w:rFonts w:eastAsia="Times New Roman" w:cs="Times New Roman"/>
          <w:color w:val="000000"/>
          <w:sz w:val="24"/>
          <w:szCs w:val="24"/>
          <w:lang w:eastAsia="pt-BR"/>
        </w:rPr>
        <w:lastRenderedPageBreak/>
        <w:t>ainda, o número da Nota de Empenho, os números do Banco, da Agência e da Conta-Corrente da CONTRATADA, e a descrição clara e sucinta do objeto.</w:t>
      </w:r>
    </w:p>
    <w:p w14:paraId="59D8ABE7"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Sobre o valor da nota fiscal, O CONTRATANTE fará as retenções devidas ao INSS e as dos impostos e contribuições previstas na Instrução Normativa SRF nº 1.234, de 11/01/2012.</w:t>
      </w:r>
    </w:p>
    <w:p w14:paraId="6847AD88"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CONTRATADA deverá, ainda, junto à Nota Fiscal/Fatura, apresentar os documentos comprobatórios de regularidade fiscal e trabalhista, exigidos no Termo de Referência/Edital.</w:t>
      </w:r>
    </w:p>
    <w:p w14:paraId="20D93AD6"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 apresentação de certidões atrasadas ou irregulares com a nota fiscal ensejará anotação do fiscal em registro próprio e criará pendência a ser sanada pela CONTRATADA.</w:t>
      </w:r>
    </w:p>
    <w:p w14:paraId="48B2E3F5" w14:textId="77777777" w:rsidR="00F91EEB" w:rsidRPr="000F4779"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 xml:space="preserve">Constatando-se, junto aos órgãos competentes, a situação de irregularidade da CONTRATADA, será providenciada sua notificação, por escrito, para que, no prazo de 5 </w:t>
      </w:r>
      <w:r>
        <w:rPr>
          <w:rFonts w:eastAsia="Times New Roman" w:cs="Times New Roman"/>
          <w:color w:val="000000"/>
          <w:sz w:val="24"/>
          <w:szCs w:val="24"/>
          <w:lang w:eastAsia="pt-BR"/>
        </w:rPr>
        <w:t xml:space="preserve">(cinco) </w:t>
      </w:r>
      <w:r w:rsidRPr="000F4779">
        <w:rPr>
          <w:rFonts w:eastAsia="Times New Roman" w:cs="Times New Roman"/>
          <w:color w:val="000000"/>
          <w:sz w:val="24"/>
          <w:szCs w:val="24"/>
          <w:lang w:eastAsia="pt-BR"/>
        </w:rPr>
        <w:t>dias úteis, regularize sua situação ou, no mesmo prazo, apresente sua defesa. O prazo poderá ser prorrogado, por igual período, a critério do CONTRATANTE.</w:t>
      </w:r>
    </w:p>
    <w:p w14:paraId="11DFFB09" w14:textId="77777777" w:rsidR="00F91EEB" w:rsidRPr="00AB3862" w:rsidRDefault="00F91EEB" w:rsidP="00F91EEB">
      <w:pPr>
        <w:pStyle w:val="PargrafodaLista"/>
        <w:numPr>
          <w:ilvl w:val="1"/>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58AE3141" w14:textId="77777777" w:rsidR="00F91EEB" w:rsidRPr="00C35F9E" w:rsidRDefault="00F91EEB" w:rsidP="00F91EEB">
      <w:pPr>
        <w:pStyle w:val="PargrafodaLista"/>
        <w:numPr>
          <w:ilvl w:val="0"/>
          <w:numId w:val="133"/>
        </w:numPr>
        <w:shd w:val="clear" w:color="auto" w:fill="E6E6E6"/>
        <w:suppressAutoHyphens w:val="0"/>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b/>
          <w:bCs/>
          <w:caps/>
          <w:color w:val="000000"/>
          <w:sz w:val="24"/>
          <w:szCs w:val="24"/>
          <w:lang w:eastAsia="pt-BR"/>
        </w:rPr>
        <w:t>DAS SANÇÕES ADMINISTRATIVAS</w:t>
      </w:r>
    </w:p>
    <w:p w14:paraId="2DA4722A" w14:textId="77777777" w:rsidR="00F91EEB" w:rsidRPr="007C5D54" w:rsidRDefault="00F91EEB" w:rsidP="00F91EEB">
      <w:pPr>
        <w:pStyle w:val="PargrafodaLista"/>
        <w:numPr>
          <w:ilvl w:val="1"/>
          <w:numId w:val="133"/>
        </w:numPr>
        <w:suppressAutoHyphens w:val="0"/>
        <w:spacing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18BC9026"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deixar de entregar os documentos exigidos no certame (prazo de 1 meses); </w:t>
      </w:r>
    </w:p>
    <w:p w14:paraId="14F2C1F2"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não mantiver a proposta (prazo de 1 mês); </w:t>
      </w:r>
    </w:p>
    <w:p w14:paraId="400726F9"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ensejar o retardamento da execução do objeto (prazo de 3 meses); </w:t>
      </w:r>
    </w:p>
    <w:p w14:paraId="6D6EF1ED"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falhar na execução do contrato (prazo de 9 meses); </w:t>
      </w:r>
    </w:p>
    <w:p w14:paraId="5443F846"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deixar de celebrar o contrato ou instrumento equivalente, quando convocado dentro do prazo de validade da proposta (prazo de 12 meses); </w:t>
      </w:r>
    </w:p>
    <w:p w14:paraId="4E9873EA"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apresentar documentação falsa (prazo de 36 meses); </w:t>
      </w:r>
    </w:p>
    <w:p w14:paraId="49A3B3B8"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fraudar na execução do contrato (prazo de 48 meses); </w:t>
      </w:r>
    </w:p>
    <w:p w14:paraId="28328046"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lastRenderedPageBreak/>
        <w:t xml:space="preserve">cometer fraude fiscal (prazo de 48 meses); </w:t>
      </w:r>
    </w:p>
    <w:p w14:paraId="346FBC85" w14:textId="77777777" w:rsidR="00F91EEB" w:rsidRPr="007C5D54" w:rsidRDefault="00F91EEB" w:rsidP="00F91EEB">
      <w:pPr>
        <w:pStyle w:val="PargrafodaLista"/>
        <w:numPr>
          <w:ilvl w:val="0"/>
          <w:numId w:val="138"/>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comportar-se de modo inidôneo (prazo de 48 meses);  </w:t>
      </w:r>
    </w:p>
    <w:p w14:paraId="3DA011E8" w14:textId="77777777" w:rsidR="00F91EEB" w:rsidRPr="007C5D54"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40DBD815" w14:textId="77777777" w:rsidR="00F91EEB" w:rsidRPr="007C5D54"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retardar a execução do objeto a ação ou omissão que prejudique o bom andamento do certame, evidencie tentativa de indução a erro no julgamento ou atrase a assinatura do contrato ou da Ata de Registro de Preços. </w:t>
      </w:r>
    </w:p>
    <w:p w14:paraId="4CFD7F8F" w14:textId="77777777" w:rsidR="00F91EEB" w:rsidRPr="007C5D54"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não manutenção da proposta: </w:t>
      </w:r>
    </w:p>
    <w:p w14:paraId="34137A4D" w14:textId="77777777" w:rsidR="00F91EEB" w:rsidRPr="007C5D54" w:rsidRDefault="00F91EEB" w:rsidP="00F91EEB">
      <w:pPr>
        <w:pStyle w:val="PargrafodaLista"/>
        <w:numPr>
          <w:ilvl w:val="0"/>
          <w:numId w:val="140"/>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 ausência do seu envio; </w:t>
      </w:r>
    </w:p>
    <w:p w14:paraId="6A479E48" w14:textId="77777777" w:rsidR="00F91EEB" w:rsidRPr="007C5D54" w:rsidRDefault="00F91EEB" w:rsidP="00F91EEB">
      <w:pPr>
        <w:pStyle w:val="PargrafodaLista"/>
        <w:numPr>
          <w:ilvl w:val="0"/>
          <w:numId w:val="140"/>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 recusa do seu detalhamento, quando exigido; </w:t>
      </w:r>
    </w:p>
    <w:p w14:paraId="589026D7" w14:textId="77777777" w:rsidR="00F91EEB" w:rsidRDefault="00F91EEB" w:rsidP="00F91EEB">
      <w:pPr>
        <w:pStyle w:val="PargrafodaLista"/>
        <w:numPr>
          <w:ilvl w:val="0"/>
          <w:numId w:val="140"/>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2D2EFB85" w14:textId="77777777" w:rsidR="00F91EEB" w:rsidRPr="007C5D54"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falha na execução contratual o inadimplemento grave ou inescusável de obrigação assumida pela contratada. </w:t>
      </w:r>
    </w:p>
    <w:p w14:paraId="7E73E8FE" w14:textId="77777777" w:rsidR="00F91EEB" w:rsidRPr="007C5D54"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fraude na execução contratual a prática de ato destinado à obtenção de vantagem ilícita, induzindo ou mantendo em erro a unidade sancionadora. </w:t>
      </w:r>
    </w:p>
    <w:p w14:paraId="3FBE43A5" w14:textId="77777777" w:rsidR="00F91EEB" w:rsidRPr="001D1D63"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As sanções previstas no art. 7° da Lei 10.520/2002 e especificadas no art. 20 da Portaria CNMP-SG nº 378/2021 podem ser aplicadas cumulativamente com a pena de multa. </w:t>
      </w:r>
    </w:p>
    <w:p w14:paraId="0135F606" w14:textId="77777777" w:rsidR="00F91EEB" w:rsidRPr="001D1D63"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0E2BF8EF" w14:textId="77777777" w:rsidR="00F91EEB" w:rsidRPr="001D1D63"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Advertência – na hipótese de falta leve, desde que não caiba a aplicação de sanção mais grave. </w:t>
      </w:r>
    </w:p>
    <w:p w14:paraId="47F99781" w14:textId="77777777" w:rsidR="00F91EEB" w:rsidRPr="001D1D63" w:rsidRDefault="00F91EEB" w:rsidP="00F91EEB">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a.1) Considera-se falta leve o descumprimento contratual que não acarrete prejuízo significativo para a Administração e não interfira diretamente na execução do objeto principal da contratação. </w:t>
      </w:r>
    </w:p>
    <w:p w14:paraId="4D361B6C" w14:textId="77777777" w:rsidR="00F91EEB" w:rsidRPr="001D1D63" w:rsidRDefault="00F91EEB" w:rsidP="00F91EEB">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lastRenderedPageBreak/>
        <w:t xml:space="preserve">a.2) A advertência será aplicada de forma preventiva e pedagógica nas infrações de menor ofensividade e leves (níveis 01 e 02), conforme constam das tabelas abaixo. </w:t>
      </w:r>
    </w:p>
    <w:p w14:paraId="2FC6E171" w14:textId="77777777" w:rsidR="00F91EEB" w:rsidRPr="001D1D63" w:rsidRDefault="00F91EEB" w:rsidP="00F91EEB">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7BC37268" w14:textId="77777777" w:rsidR="00F91EEB" w:rsidRPr="001D1D63"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Multa aplicada nas seguintes hipóteses e nas demais previstas na tabela de penalidades deste termo de referência:</w:t>
      </w:r>
    </w:p>
    <w:p w14:paraId="1408EF21" w14:textId="77777777" w:rsidR="00F91EEB" w:rsidRPr="001D1D63" w:rsidRDefault="00F91EEB" w:rsidP="00F91EEB">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35CA7578" w14:textId="77777777" w:rsidR="00F91EEB" w:rsidRPr="001D1D63" w:rsidRDefault="00F91EEB" w:rsidP="00F91EEB">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2,5% (dois vírgula cinco por cento) pelas condutas tipificadas nos incisos I e II do art. 20, da Portaria CNMP-SG nº 378/2021; </w:t>
      </w:r>
    </w:p>
    <w:p w14:paraId="33094414" w14:textId="77777777" w:rsidR="00F91EEB" w:rsidRPr="001D1D63" w:rsidRDefault="00F91EEB" w:rsidP="00F91EEB">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5% (cinco por cento) pela conduta tipificada no inciso V do art. 20, da Portaria CNMP-SG nº 378/2021; </w:t>
      </w:r>
    </w:p>
    <w:p w14:paraId="058571AF" w14:textId="77777777" w:rsidR="00F91EEB" w:rsidRPr="001D1D63" w:rsidRDefault="00F91EEB" w:rsidP="00F91EEB">
      <w:pPr>
        <w:pStyle w:val="PargrafodaLista"/>
        <w:numPr>
          <w:ilvl w:val="0"/>
          <w:numId w:val="1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10% (dez por cento) pelas condutas tipificadas nos incisos VI, VIII e IX do art. 20, da Portaria CNMP-SG nº 378/2021.</w:t>
      </w:r>
    </w:p>
    <w:p w14:paraId="6B6705D0" w14:textId="77777777" w:rsidR="00F91EEB" w:rsidRPr="001D1D63" w:rsidRDefault="00F91EEB" w:rsidP="00F91EEB">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Pr>
          <w:rFonts w:eastAsia="Times New Roman" w:cs="Times New Roman"/>
          <w:sz w:val="24"/>
          <w:szCs w:val="24"/>
          <w:lang w:eastAsia="pt-BR"/>
        </w:rPr>
        <w:t xml:space="preserve">Nos casos </w:t>
      </w:r>
      <w:r w:rsidRPr="001D1D63">
        <w:rPr>
          <w:rFonts w:eastAsia="Times New Roman" w:cs="Times New Roman"/>
          <w:sz w:val="24"/>
          <w:szCs w:val="24"/>
          <w:lang w:eastAsia="pt-BR"/>
        </w:rPr>
        <w:t xml:space="preserve">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6A56E217" w14:textId="77777777" w:rsidR="00F91EEB" w:rsidRPr="001D1D63" w:rsidRDefault="00F91EEB" w:rsidP="00F91EEB">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Considera-se inexecução parcial o atraso injustificado superior a 20 (vinte) dias no cumprimento das obrigações principais e acessórias assumidas;  </w:t>
      </w:r>
    </w:p>
    <w:p w14:paraId="222C6AFE" w14:textId="77777777" w:rsidR="00F91EEB" w:rsidRPr="001D1D63" w:rsidRDefault="00F91EEB" w:rsidP="00F91EEB">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Pela caracterização de inexecução parcial do objeto contratado, será aplicada multa de 20% sobre a parcela inadimplida ou, sobre o valor da fatura correspondente ao período que tenha ocorrido a falta. </w:t>
      </w:r>
    </w:p>
    <w:p w14:paraId="1D115590" w14:textId="77777777" w:rsidR="00F91EEB" w:rsidRPr="001D1D63" w:rsidRDefault="00F91EEB" w:rsidP="00F91EEB">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Considera-se inexecução total o atraso injustificado superior a 40 (quarenta) dias no cumprimento da obrigação principal assumida </w:t>
      </w:r>
    </w:p>
    <w:p w14:paraId="3D0C2D22" w14:textId="77777777" w:rsidR="00F91EEB" w:rsidRPr="001D1D63" w:rsidRDefault="00F91EEB" w:rsidP="00F91EEB">
      <w:pPr>
        <w:pStyle w:val="PargrafodaLista"/>
        <w:numPr>
          <w:ilvl w:val="3"/>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lastRenderedPageBreak/>
        <w:t xml:space="preserve">Pela caracterização de inexecução total do objeto contratado, será aplicada multa de 30% sobre o valor total do contrato. </w:t>
      </w:r>
    </w:p>
    <w:p w14:paraId="172C578E" w14:textId="77777777" w:rsidR="00F91EEB" w:rsidRPr="001D1D63"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Suspensão temporária de participação em licitação e impedimentos de contratar com o CNMP</w:t>
      </w:r>
      <w:r>
        <w:rPr>
          <w:rFonts w:eastAsia="Times New Roman" w:cs="Times New Roman"/>
          <w:sz w:val="24"/>
          <w:szCs w:val="24"/>
          <w:lang w:eastAsia="pt-BR"/>
        </w:rPr>
        <w:t xml:space="preserve"> nos termos do art. 87, III, da Lei n 8.666, de 1993, pode ser aplicada para punir reiteradas faltas, ou o cometimento de faltas contratuais graves, nos seguintes prazos e situações:  </w:t>
      </w:r>
    </w:p>
    <w:p w14:paraId="1B27B323"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Execução insatisfatória das obrigações assumidas contratualmente, no caso de a empresa ter sido sancionada anteriormente com multa e/ou advertência; Prazo – 3 meses. </w:t>
      </w:r>
    </w:p>
    <w:p w14:paraId="5D10034E"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conclusão do objeto contratado no prazo previsto contratualmente; Prazo – 3 meses. </w:t>
      </w:r>
    </w:p>
    <w:p w14:paraId="4A5BAD03"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Ensejar o retardamento da execução do objeto do contrato; Prazo – 3 meses. </w:t>
      </w:r>
    </w:p>
    <w:p w14:paraId="3A093896"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manter as condições apresentadas na proposta; Prazo – 9 meses. </w:t>
      </w:r>
    </w:p>
    <w:p w14:paraId="0ECCACEF"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substituição de material entregue em desacordo com as especificações no prazo previsto contratualmente ou concedido pela Administração; Prazo – 6 meses.  </w:t>
      </w:r>
    </w:p>
    <w:p w14:paraId="5D130984"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3E60EBBD"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Atraso injustificado, superior a 45 (quarenta e cinco) dias, no cumprimento das obrigações assumidas contratualmente, que tenha acarretado prejuízo à Administração; Prazo – 12 meses. </w:t>
      </w:r>
    </w:p>
    <w:p w14:paraId="274082E2"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Cometimento de irregularidades que acarretem prejuízos à Administração, ensejando a rescisão da contratação por sua culpa; Prazo – 18 meses. </w:t>
      </w:r>
    </w:p>
    <w:p w14:paraId="70E9EE0B" w14:textId="77777777" w:rsidR="00F91EEB" w:rsidRDefault="00F91EEB" w:rsidP="00F91EEB">
      <w:pPr>
        <w:pStyle w:val="PargrafodaLista"/>
        <w:numPr>
          <w:ilvl w:val="3"/>
          <w:numId w:val="139"/>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Inexecução total do objeto contratado; Prazo – 24 meses. </w:t>
      </w:r>
    </w:p>
    <w:p w14:paraId="595E02F2" w14:textId="77777777" w:rsidR="00F91EEB" w:rsidRPr="001D1D63"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sz w:val="24"/>
          <w:szCs w:val="24"/>
          <w:lang w:eastAsia="pt-BR"/>
        </w:rPr>
      </w:pPr>
      <w:r>
        <w:rPr>
          <w:rFonts w:eastAsia="Times New Roman" w:cs="Times New Roman"/>
          <w:sz w:val="24"/>
          <w:szCs w:val="24"/>
          <w:lang w:eastAsia="pt-BR"/>
        </w:rPr>
        <w:t xml:space="preserve">A </w:t>
      </w:r>
      <w:r w:rsidRPr="001D1D63">
        <w:rPr>
          <w:rFonts w:eastAsia="Times New Roman" w:cs="Times New Roman"/>
          <w:sz w:val="24"/>
          <w:szCs w:val="24"/>
          <w:lang w:eastAsia="pt-BR"/>
        </w:rPr>
        <w:t>declaração de inidoneidade para licitar ou contratar com a Administração Pública</w:t>
      </w:r>
      <w:r>
        <w:rPr>
          <w:rFonts w:eastAsia="Times New Roman" w:cs="Times New Roman"/>
          <w:sz w:val="24"/>
          <w:szCs w:val="24"/>
          <w:lang w:eastAsia="pt-BR"/>
        </w:rPr>
        <w:t xml:space="preserve">, nos termos do art. 87, IV da Lei nº 8666 de 19993, tem por objetivo punir faltas contratuais gravíssimas e pode ser aplicada nas hipóteses de a contratada: </w:t>
      </w:r>
    </w:p>
    <w:p w14:paraId="06A3EDF0" w14:textId="77777777" w:rsidR="00F91EEB"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Sofrer condenação definitiva por praticar, por meio doloso, fraude fiscal no recolhimento de qualquer tributo; </w:t>
      </w:r>
    </w:p>
    <w:p w14:paraId="59EBB281" w14:textId="77777777" w:rsidR="00F91EEB"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lastRenderedPageBreak/>
        <w:t xml:space="preserve">Praticar ato ilícito visando frustrar os objetivos da licitação; </w:t>
      </w:r>
    </w:p>
    <w:p w14:paraId="422BE00C" w14:textId="77777777" w:rsidR="00F91EEB"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Demonstrar não possuir idoneidade para contratar com a Administração em virtude de atos ilícitos praticados; </w:t>
      </w:r>
    </w:p>
    <w:p w14:paraId="283EF664" w14:textId="77777777" w:rsidR="00F91EEB" w:rsidRDefault="00F91EEB" w:rsidP="00F91EEB">
      <w:pPr>
        <w:pStyle w:val="PargrafodaLista"/>
        <w:numPr>
          <w:ilvl w:val="2"/>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Praticar ato configurado como crime pelo Capítulo II-B do Título XI do Decreto-Lei nº 2.848, de 7 de dezembro de 1940 (Código Penal) durante a execução do contrato. </w:t>
      </w:r>
    </w:p>
    <w:p w14:paraId="127F1F7D"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Os efeitos persistirão enquanto durarem os motivos que deram causa à aplicação da penalidade ou até que seja promovida a reabilitação da empresa perante à Administração. </w:t>
      </w:r>
    </w:p>
    <w:p w14:paraId="31E7CAFD"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A reabilitação será concedida sempre que o contratado ressarcir a Administração pelos prejuízos causados e após o decurso de 2 (dois) anos da aplicação. </w:t>
      </w:r>
    </w:p>
    <w:p w14:paraId="246317D1"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0895607B"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65A300F5"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3968B2A3"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0099E5D2" w14:textId="77777777" w:rsidR="00F91EEB"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2B124B29" w14:textId="77777777" w:rsidR="00F91EEB" w:rsidRPr="00DD1A21" w:rsidRDefault="00F91EEB" w:rsidP="00F91EEB">
      <w:pPr>
        <w:pStyle w:val="PargrafodaLista"/>
        <w:numPr>
          <w:ilvl w:val="1"/>
          <w:numId w:val="137"/>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lastRenderedPageBreak/>
        <w:t>As penalidades previstas neste Termo de Referência são independentes entre si, podendo ser aplicadas isoladas ou, no caso de multa, cumulativamente, sem prejuízo de outras medidas cabíveis, garantida prévia defesa (art. 87, § 2º da Lei 8.666/93).</w:t>
      </w:r>
    </w:p>
    <w:p w14:paraId="77DA1B44" w14:textId="77777777" w:rsidR="00F91EEB" w:rsidRPr="00312E2B" w:rsidRDefault="00F91EEB" w:rsidP="00F91EEB">
      <w:pPr>
        <w:pStyle w:val="PargrafodaLista"/>
        <w:numPr>
          <w:ilvl w:val="0"/>
          <w:numId w:val="133"/>
        </w:numPr>
        <w:shd w:val="clear" w:color="auto" w:fill="D9D9D9" w:themeFill="background1" w:themeFillShade="D9"/>
        <w:suppressAutoHyphens w:val="0"/>
        <w:contextualSpacing/>
        <w:jc w:val="both"/>
        <w:textAlignment w:val="auto"/>
        <w:rPr>
          <w:rFonts w:cs="Times New Roman"/>
          <w:b/>
          <w:sz w:val="24"/>
          <w:szCs w:val="24"/>
        </w:rPr>
      </w:pPr>
      <w:r w:rsidRPr="00312E2B">
        <w:rPr>
          <w:rFonts w:cs="Times New Roman"/>
          <w:b/>
          <w:sz w:val="24"/>
          <w:szCs w:val="24"/>
        </w:rPr>
        <w:t>TABELA DE PENALIDADES</w:t>
      </w:r>
    </w:p>
    <w:p w14:paraId="0554EDF7" w14:textId="77777777" w:rsidR="00F91EEB" w:rsidRPr="006624B7" w:rsidRDefault="00F91EEB" w:rsidP="00F91EEB">
      <w:pPr>
        <w:pStyle w:val="PargrafodaLista"/>
        <w:numPr>
          <w:ilvl w:val="1"/>
          <w:numId w:val="133"/>
        </w:numPr>
        <w:suppressAutoHyphens w:val="0"/>
        <w:spacing w:line="360" w:lineRule="auto"/>
        <w:contextualSpacing/>
        <w:jc w:val="both"/>
        <w:textAlignment w:val="auto"/>
        <w:rPr>
          <w:rFonts w:cs="Times New Roman"/>
          <w:b/>
          <w:sz w:val="24"/>
          <w:szCs w:val="24"/>
        </w:rPr>
      </w:pPr>
      <w:r w:rsidRPr="006624B7">
        <w:rPr>
          <w:rFonts w:cs="Times New Roman"/>
          <w:sz w:val="24"/>
          <w:szCs w:val="24"/>
        </w:rPr>
        <w:t>Considerações iniciais</w:t>
      </w:r>
    </w:p>
    <w:p w14:paraId="2639C7F7" w14:textId="77777777" w:rsidR="00F91EEB" w:rsidRPr="006624B7" w:rsidRDefault="00F91EEB" w:rsidP="00F91EEB">
      <w:pPr>
        <w:pStyle w:val="PargrafodaLista"/>
        <w:numPr>
          <w:ilvl w:val="1"/>
          <w:numId w:val="133"/>
        </w:numPr>
        <w:suppressAutoHyphens w:val="0"/>
        <w:spacing w:line="360" w:lineRule="auto"/>
        <w:contextualSpacing/>
        <w:jc w:val="both"/>
        <w:textAlignment w:val="auto"/>
        <w:rPr>
          <w:rFonts w:cs="Times New Roman"/>
          <w:sz w:val="24"/>
          <w:szCs w:val="24"/>
        </w:rPr>
      </w:pPr>
      <w:r w:rsidRPr="006624B7">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1B92128" w14:textId="77777777" w:rsidR="00F91EEB" w:rsidRPr="00E26793" w:rsidRDefault="00F91EEB" w:rsidP="00F91EEB">
      <w:pPr>
        <w:pStyle w:val="PargrafodaLista"/>
        <w:numPr>
          <w:ilvl w:val="1"/>
          <w:numId w:val="133"/>
        </w:numPr>
        <w:suppressAutoHyphens w:val="0"/>
        <w:spacing w:line="360" w:lineRule="auto"/>
        <w:contextualSpacing/>
        <w:jc w:val="both"/>
        <w:textAlignment w:val="auto"/>
        <w:rPr>
          <w:sz w:val="24"/>
          <w:szCs w:val="24"/>
        </w:rPr>
      </w:pPr>
      <w:r w:rsidRPr="006624B7">
        <w:rPr>
          <w:rFonts w:cs="Times New Roman"/>
          <w:sz w:val="24"/>
          <w:szCs w:val="24"/>
        </w:rPr>
        <w:t>A multa poderá ser acumulada com quaisquer outras sanções e será aplicada na seguinte forma:</w:t>
      </w:r>
    </w:p>
    <w:p w14:paraId="0639A785" w14:textId="77777777" w:rsidR="00F91EEB" w:rsidRPr="00AB3862" w:rsidRDefault="00F91EEB" w:rsidP="00F91EEB">
      <w:pPr>
        <w:pStyle w:val="PargrafodaLista"/>
        <w:autoSpaceDE w:val="0"/>
        <w:autoSpaceDN w:val="0"/>
        <w:adjustRightInd w:val="0"/>
        <w:spacing w:line="360" w:lineRule="auto"/>
        <w:ind w:left="0" w:firstLine="709"/>
        <w:jc w:val="center"/>
        <w:rPr>
          <w:rFonts w:cs="Times New Roman"/>
          <w:b/>
          <w:bCs/>
          <w:sz w:val="24"/>
          <w:szCs w:val="24"/>
        </w:rPr>
      </w:pPr>
      <w:r w:rsidRPr="00AB3862">
        <w:rPr>
          <w:rFonts w:cs="Times New Roman"/>
          <w:b/>
          <w:bCs/>
          <w:sz w:val="24"/>
          <w:szCs w:val="24"/>
        </w:rPr>
        <w:t>Tabela 1: Percentual máximo para as infrações</w:t>
      </w:r>
    </w:p>
    <w:tbl>
      <w:tblPr>
        <w:tblW w:w="8646" w:type="dxa"/>
        <w:jc w:val="center"/>
        <w:tblLayout w:type="fixed"/>
        <w:tblCellMar>
          <w:top w:w="55" w:type="dxa"/>
          <w:left w:w="55" w:type="dxa"/>
          <w:bottom w:w="55" w:type="dxa"/>
          <w:right w:w="55" w:type="dxa"/>
        </w:tblCellMar>
        <w:tblLook w:val="0000" w:firstRow="0" w:lastRow="0" w:firstColumn="0" w:lastColumn="0" w:noHBand="0" w:noVBand="0"/>
      </w:tblPr>
      <w:tblGrid>
        <w:gridCol w:w="4040"/>
        <w:gridCol w:w="4606"/>
      </w:tblGrid>
      <w:tr w:rsidR="00F91EEB" w:rsidRPr="00C35F9E" w14:paraId="12DDE271" w14:textId="77777777" w:rsidTr="008B591F">
        <w:trPr>
          <w:jc w:val="center"/>
        </w:trPr>
        <w:tc>
          <w:tcPr>
            <w:tcW w:w="4040" w:type="dxa"/>
            <w:tcBorders>
              <w:top w:val="single" w:sz="1" w:space="0" w:color="000000" w:themeColor="text1"/>
              <w:left w:val="single" w:sz="1" w:space="0" w:color="000000" w:themeColor="text1"/>
              <w:bottom w:val="single" w:sz="1" w:space="0" w:color="000000" w:themeColor="text1"/>
            </w:tcBorders>
            <w:shd w:val="clear" w:color="auto" w:fill="B2B2B2"/>
          </w:tcPr>
          <w:p w14:paraId="6CDC3E54" w14:textId="77777777" w:rsidR="00F91EEB" w:rsidRPr="00C35F9E" w:rsidRDefault="00F91EEB" w:rsidP="008B591F">
            <w:pPr>
              <w:spacing w:before="57" w:after="57" w:line="360" w:lineRule="auto"/>
              <w:jc w:val="center"/>
              <w:rPr>
                <w:rFonts w:cs="Times New Roman"/>
                <w:b/>
                <w:bCs/>
                <w:sz w:val="20"/>
                <w:szCs w:val="20"/>
              </w:rPr>
            </w:pPr>
            <w:r w:rsidRPr="00C35F9E">
              <w:rPr>
                <w:rFonts w:cs="Times New Roman"/>
                <w:b/>
                <w:bCs/>
                <w:sz w:val="20"/>
                <w:szCs w:val="20"/>
              </w:rPr>
              <w:t>INFRAÇÃO</w:t>
            </w:r>
          </w:p>
        </w:tc>
        <w:tc>
          <w:tcPr>
            <w:tcW w:w="460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58501260" w14:textId="77777777" w:rsidR="00F91EEB" w:rsidRPr="00C35F9E" w:rsidRDefault="00F91EEB" w:rsidP="008B591F">
            <w:pPr>
              <w:spacing w:before="57" w:after="57" w:line="360" w:lineRule="auto"/>
              <w:jc w:val="center"/>
              <w:rPr>
                <w:rFonts w:cs="Times New Roman"/>
                <w:sz w:val="20"/>
                <w:szCs w:val="20"/>
              </w:rPr>
            </w:pPr>
            <w:r w:rsidRPr="00C35F9E">
              <w:rPr>
                <w:rFonts w:cs="Times New Roman"/>
                <w:b/>
                <w:bCs/>
                <w:sz w:val="20"/>
                <w:szCs w:val="20"/>
              </w:rPr>
              <w:t xml:space="preserve">MULTA </w:t>
            </w:r>
          </w:p>
        </w:tc>
      </w:tr>
      <w:tr w:rsidR="00F91EEB" w:rsidRPr="00C35F9E" w14:paraId="382F8C02" w14:textId="77777777" w:rsidTr="008B591F">
        <w:trPr>
          <w:trHeight w:val="2384"/>
          <w:jc w:val="center"/>
        </w:trPr>
        <w:tc>
          <w:tcPr>
            <w:tcW w:w="4040" w:type="dxa"/>
            <w:tcBorders>
              <w:left w:val="single" w:sz="1" w:space="0" w:color="000000" w:themeColor="text1"/>
              <w:bottom w:val="single" w:sz="1" w:space="0" w:color="000000" w:themeColor="text1"/>
            </w:tcBorders>
            <w:shd w:val="clear" w:color="auto" w:fill="auto"/>
          </w:tcPr>
          <w:p w14:paraId="6544BC4D" w14:textId="77777777" w:rsidR="00F91EEB" w:rsidRPr="00C35F9E" w:rsidRDefault="00F91EEB" w:rsidP="008B591F">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1) apresentação de documentação falsa</w:t>
            </w:r>
          </w:p>
          <w:p w14:paraId="18F8B91B" w14:textId="77777777" w:rsidR="00F91EEB" w:rsidRPr="00C35F9E" w:rsidRDefault="00F91EEB" w:rsidP="008B591F">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2) fraude na execução contratual</w:t>
            </w:r>
          </w:p>
          <w:p w14:paraId="18E20033" w14:textId="77777777" w:rsidR="00F91EEB" w:rsidRPr="00C35F9E" w:rsidRDefault="00F91EEB" w:rsidP="008B591F">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3) comportamento inidôneo</w:t>
            </w:r>
          </w:p>
          <w:p w14:paraId="312E71A1" w14:textId="77777777" w:rsidR="00F91EEB" w:rsidRPr="00C35F9E" w:rsidRDefault="00F91EEB" w:rsidP="008B591F">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4) fraude fiscal</w:t>
            </w:r>
          </w:p>
          <w:p w14:paraId="5DCA03CE" w14:textId="77777777" w:rsidR="00F91EEB" w:rsidRPr="00C35F9E" w:rsidRDefault="00F91EEB" w:rsidP="008B591F">
            <w:pPr>
              <w:spacing w:before="57" w:after="57" w:line="360" w:lineRule="auto"/>
              <w:jc w:val="both"/>
              <w:rPr>
                <w:rFonts w:cs="Times New Roman"/>
                <w:sz w:val="20"/>
                <w:szCs w:val="20"/>
              </w:rPr>
            </w:pPr>
            <w:r w:rsidRPr="00C35F9E">
              <w:rPr>
                <w:rFonts w:eastAsia="TTE4D8A148t00" w:cs="Times New Roman"/>
                <w:color w:val="000000"/>
                <w:sz w:val="20"/>
                <w:szCs w:val="20"/>
              </w:rPr>
              <w:t>5) descumprimento de obrigação contratual</w:t>
            </w:r>
          </w:p>
        </w:tc>
        <w:tc>
          <w:tcPr>
            <w:tcW w:w="4606" w:type="dxa"/>
            <w:tcBorders>
              <w:left w:val="single" w:sz="1" w:space="0" w:color="000000" w:themeColor="text1"/>
              <w:bottom w:val="single" w:sz="1" w:space="0" w:color="000000" w:themeColor="text1"/>
              <w:right w:val="single" w:sz="1" w:space="0" w:color="000000" w:themeColor="text1"/>
            </w:tcBorders>
            <w:shd w:val="clear" w:color="auto" w:fill="auto"/>
          </w:tcPr>
          <w:p w14:paraId="2A00D944" w14:textId="77777777" w:rsidR="00F91EEB" w:rsidRPr="000D5906" w:rsidRDefault="00F91EEB" w:rsidP="008B591F">
            <w:pPr>
              <w:autoSpaceDE w:val="0"/>
              <w:spacing w:before="57" w:after="57" w:line="360" w:lineRule="auto"/>
              <w:jc w:val="center"/>
              <w:rPr>
                <w:rFonts w:cs="Times New Roman"/>
                <w:sz w:val="20"/>
                <w:szCs w:val="20"/>
              </w:rPr>
            </w:pPr>
          </w:p>
          <w:p w14:paraId="7D9BE0F6" w14:textId="77777777" w:rsidR="00F91EEB" w:rsidRPr="000D5906" w:rsidRDefault="00F91EEB" w:rsidP="008B591F">
            <w:pPr>
              <w:autoSpaceDE w:val="0"/>
              <w:spacing w:before="57" w:after="57" w:line="360" w:lineRule="auto"/>
              <w:jc w:val="center"/>
              <w:rPr>
                <w:rFonts w:cs="Times New Roman"/>
                <w:sz w:val="20"/>
                <w:szCs w:val="20"/>
              </w:rPr>
            </w:pPr>
          </w:p>
          <w:p w14:paraId="601246B6" w14:textId="77777777" w:rsidR="00F91EEB" w:rsidRPr="000D5906" w:rsidRDefault="00F91EEB" w:rsidP="008B591F">
            <w:pPr>
              <w:autoSpaceDE w:val="0"/>
              <w:spacing w:before="57" w:after="57" w:line="360" w:lineRule="auto"/>
              <w:jc w:val="center"/>
              <w:rPr>
                <w:rFonts w:cs="Times New Roman"/>
                <w:sz w:val="20"/>
                <w:szCs w:val="20"/>
              </w:rPr>
            </w:pPr>
            <w:r w:rsidRPr="000D5906">
              <w:rPr>
                <w:rFonts w:cs="Times New Roman"/>
                <w:sz w:val="20"/>
                <w:szCs w:val="20"/>
              </w:rPr>
              <w:t>10%</w:t>
            </w:r>
            <w:r>
              <w:rPr>
                <w:rFonts w:cs="Times New Roman"/>
                <w:sz w:val="20"/>
                <w:szCs w:val="20"/>
              </w:rPr>
              <w:t xml:space="preserve"> </w:t>
            </w:r>
            <w:r w:rsidRPr="000D5906">
              <w:rPr>
                <w:rFonts w:cs="Times New Roman"/>
                <w:sz w:val="20"/>
                <w:szCs w:val="20"/>
              </w:rPr>
              <w:t>(dez por cento) sobre o valor global do contrato</w:t>
            </w:r>
          </w:p>
        </w:tc>
      </w:tr>
      <w:tr w:rsidR="00F91EEB" w:rsidRPr="00C35F9E" w14:paraId="260EE720" w14:textId="77777777" w:rsidTr="008B591F">
        <w:trPr>
          <w:trHeight w:val="1271"/>
          <w:jc w:val="center"/>
        </w:trPr>
        <w:tc>
          <w:tcPr>
            <w:tcW w:w="4040" w:type="dxa"/>
            <w:tcBorders>
              <w:left w:val="single" w:sz="1" w:space="0" w:color="000000" w:themeColor="text1"/>
              <w:bottom w:val="single" w:sz="4" w:space="0" w:color="auto"/>
            </w:tcBorders>
            <w:shd w:val="clear" w:color="auto" w:fill="auto"/>
          </w:tcPr>
          <w:p w14:paraId="131B050B" w14:textId="77777777" w:rsidR="00F91EEB" w:rsidRPr="00C35F9E" w:rsidRDefault="00F91EEB" w:rsidP="008B591F">
            <w:pPr>
              <w:spacing w:before="57" w:after="57" w:line="360" w:lineRule="auto"/>
              <w:jc w:val="both"/>
              <w:rPr>
                <w:rFonts w:eastAsia="TTE4D8A148t00" w:cs="Times New Roman"/>
                <w:sz w:val="20"/>
                <w:szCs w:val="20"/>
              </w:rPr>
            </w:pPr>
            <w:r w:rsidRPr="00C35F9E">
              <w:rPr>
                <w:rFonts w:eastAsia="TTE4D8A148t00" w:cs="Times New Roman"/>
                <w:sz w:val="20"/>
                <w:szCs w:val="20"/>
              </w:rPr>
              <w:t>6) inexecução parcial</w:t>
            </w:r>
          </w:p>
          <w:p w14:paraId="0E9D2215" w14:textId="77777777" w:rsidR="00F91EEB" w:rsidRPr="00C35F9E" w:rsidRDefault="00F91EEB" w:rsidP="008B591F">
            <w:pPr>
              <w:spacing w:before="57" w:after="57" w:line="360" w:lineRule="auto"/>
              <w:jc w:val="both"/>
              <w:rPr>
                <w:rFonts w:eastAsia="TTE4D8A148t00" w:cs="Times New Roman"/>
                <w:sz w:val="20"/>
                <w:szCs w:val="20"/>
              </w:rPr>
            </w:pPr>
          </w:p>
        </w:tc>
        <w:tc>
          <w:tcPr>
            <w:tcW w:w="4606" w:type="dxa"/>
            <w:tcBorders>
              <w:left w:val="single" w:sz="1" w:space="0" w:color="000000" w:themeColor="text1"/>
              <w:bottom w:val="single" w:sz="4" w:space="0" w:color="auto"/>
              <w:right w:val="single" w:sz="1" w:space="0" w:color="000000" w:themeColor="text1"/>
            </w:tcBorders>
            <w:shd w:val="clear" w:color="auto" w:fill="auto"/>
          </w:tcPr>
          <w:p w14:paraId="3D31441D" w14:textId="77777777" w:rsidR="00F91EEB" w:rsidRPr="000D5906" w:rsidRDefault="00F91EEB" w:rsidP="008B591F">
            <w:pPr>
              <w:autoSpaceDE w:val="0"/>
              <w:spacing w:before="57" w:after="57" w:line="360" w:lineRule="auto"/>
              <w:jc w:val="center"/>
              <w:rPr>
                <w:rFonts w:cs="Times New Roman"/>
                <w:sz w:val="20"/>
                <w:szCs w:val="20"/>
              </w:rPr>
            </w:pPr>
            <w:r w:rsidRPr="000D5906">
              <w:rPr>
                <w:rFonts w:eastAsia="TTE4D8A148t00" w:cs="Times New Roman"/>
                <w:sz w:val="20"/>
                <w:szCs w:val="20"/>
              </w:rPr>
              <w:t xml:space="preserve">10% (dez por cento) sobre a </w:t>
            </w:r>
            <w:r w:rsidRPr="000D5906">
              <w:rPr>
                <w:rFonts w:eastAsia="Arial" w:cs="Times New Roman"/>
                <w:sz w:val="20"/>
                <w:szCs w:val="20"/>
              </w:rPr>
              <w:t>parcela inadimplida ou, sobre o valor da fatura correspondente ao período que tenha ocorrido a falta.</w:t>
            </w:r>
          </w:p>
        </w:tc>
      </w:tr>
      <w:tr w:rsidR="00F91EEB" w:rsidRPr="00C35F9E" w14:paraId="3A8DDD81" w14:textId="77777777" w:rsidTr="008B591F">
        <w:trPr>
          <w:jc w:val="center"/>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24C58141" w14:textId="77777777" w:rsidR="00F91EEB" w:rsidRPr="00C35F9E" w:rsidRDefault="00F91EEB" w:rsidP="008B591F">
            <w:pPr>
              <w:spacing w:before="57" w:after="57" w:line="360" w:lineRule="auto"/>
              <w:jc w:val="both"/>
              <w:rPr>
                <w:rFonts w:eastAsia="TTE4D8A148t00" w:cs="Times New Roman"/>
                <w:sz w:val="20"/>
                <w:szCs w:val="20"/>
              </w:rPr>
            </w:pPr>
            <w:r w:rsidRPr="00C35F9E">
              <w:rPr>
                <w:rFonts w:eastAsia="TTE4D8A148t00" w:cs="Times New Roman"/>
                <w:sz w:val="20"/>
                <w:szCs w:val="20"/>
              </w:rPr>
              <w:t xml:space="preserve">7) inexecução total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7FC7128" w14:textId="77777777" w:rsidR="00F91EEB" w:rsidRPr="000D5906" w:rsidRDefault="00F91EEB" w:rsidP="008B591F">
            <w:pPr>
              <w:autoSpaceDE w:val="0"/>
              <w:spacing w:before="57" w:after="57" w:line="360" w:lineRule="auto"/>
              <w:jc w:val="center"/>
              <w:rPr>
                <w:rFonts w:eastAsia="TTE4D8A148t00" w:cs="Times New Roman"/>
                <w:sz w:val="20"/>
                <w:szCs w:val="20"/>
              </w:rPr>
            </w:pPr>
            <w:r w:rsidRPr="000D5906">
              <w:rPr>
                <w:rFonts w:eastAsia="TTE4D8A148t00" w:cs="Times New Roman"/>
                <w:sz w:val="20"/>
                <w:szCs w:val="20"/>
              </w:rPr>
              <w:t>30% (trinta por cento)</w:t>
            </w:r>
            <w:r w:rsidRPr="000D5906">
              <w:rPr>
                <w:rFonts w:cs="Times New Roman"/>
                <w:sz w:val="20"/>
                <w:szCs w:val="20"/>
              </w:rPr>
              <w:t xml:space="preserve"> sobre o valor global do contrato</w:t>
            </w:r>
          </w:p>
        </w:tc>
      </w:tr>
    </w:tbl>
    <w:p w14:paraId="6F776CC3" w14:textId="77777777" w:rsidR="00F91EEB" w:rsidRPr="000F4779" w:rsidRDefault="00F91EEB" w:rsidP="00F91EEB">
      <w:pPr>
        <w:pStyle w:val="PargrafodaLista"/>
        <w:numPr>
          <w:ilvl w:val="2"/>
          <w:numId w:val="133"/>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Além dessas, serão aplicadas multas, conforme as infrações cometidas e o nível de gravidade respectivo, indicados nas tabelas a seguir:</w:t>
      </w:r>
    </w:p>
    <w:p w14:paraId="539458F1" w14:textId="77777777" w:rsidR="00F91EEB" w:rsidRPr="000F4779" w:rsidRDefault="00F91EEB" w:rsidP="00F91EEB">
      <w:pPr>
        <w:pStyle w:val="PargrafodaLista"/>
        <w:spacing w:line="360" w:lineRule="auto"/>
        <w:ind w:left="0" w:firstLine="709"/>
        <w:jc w:val="both"/>
        <w:rPr>
          <w:rFonts w:eastAsia="Times New Roman" w:cs="Times New Roman"/>
          <w:color w:val="000000"/>
          <w:sz w:val="24"/>
          <w:szCs w:val="24"/>
          <w:lang w:eastAsia="pt-BR"/>
        </w:rPr>
      </w:pPr>
    </w:p>
    <w:p w14:paraId="7D250929" w14:textId="77777777" w:rsidR="00F91EEB" w:rsidRPr="000F4779" w:rsidRDefault="00F91EEB" w:rsidP="00F91EEB">
      <w:pPr>
        <w:pStyle w:val="PargrafodaLista"/>
        <w:spacing w:line="360" w:lineRule="auto"/>
        <w:ind w:left="0" w:firstLine="709"/>
        <w:jc w:val="center"/>
        <w:rPr>
          <w:rFonts w:eastAsia="Times New Roman" w:cs="Times New Roman"/>
          <w:color w:val="000000"/>
          <w:sz w:val="24"/>
          <w:szCs w:val="24"/>
          <w:lang w:eastAsia="pt-BR"/>
        </w:rPr>
      </w:pPr>
      <w:r w:rsidRPr="000F4779">
        <w:rPr>
          <w:rFonts w:eastAsia="Times New Roman" w:cs="Times New Roman"/>
          <w:b/>
          <w:bCs/>
          <w:color w:val="000000"/>
          <w:sz w:val="24"/>
          <w:szCs w:val="24"/>
          <w:lang w:eastAsia="pt-BR"/>
        </w:rPr>
        <w:t>Tabela 2: Classificação das infrações e multas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F91EEB" w:rsidRPr="003B79C4" w14:paraId="6AFB360D"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0DD7484"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b/>
                <w:bCs/>
                <w:sz w:val="20"/>
                <w:szCs w:val="20"/>
                <w:lang w:eastAsia="pt-BR"/>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ACBA0EE"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b/>
                <w:bCs/>
                <w:sz w:val="20"/>
                <w:szCs w:val="20"/>
                <w:lang w:eastAsia="pt-BR"/>
              </w:rPr>
              <w:t>CORRESPONDÊNCIA</w:t>
            </w:r>
          </w:p>
          <w:p w14:paraId="10E98E0D"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(por ocorrência sobre o valor global do contratado)</w:t>
            </w:r>
          </w:p>
        </w:tc>
      </w:tr>
      <w:tr w:rsidR="00F91EEB" w:rsidRPr="003B79C4" w14:paraId="27B48FF9"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42558CCE"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67078CE1"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0,2%.</w:t>
            </w:r>
          </w:p>
        </w:tc>
      </w:tr>
      <w:tr w:rsidR="00F91EEB" w:rsidRPr="003B79C4" w14:paraId="3D1ECC90"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5503FD13"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1510B5E5"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0,4%.</w:t>
            </w:r>
          </w:p>
        </w:tc>
      </w:tr>
      <w:tr w:rsidR="00F91EEB" w:rsidRPr="003B79C4" w14:paraId="31928298"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619A76E5"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7DD00D13"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0,8%.</w:t>
            </w:r>
          </w:p>
        </w:tc>
      </w:tr>
      <w:tr w:rsidR="00F91EEB" w:rsidRPr="003B79C4" w14:paraId="55BB5427"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5CA8E240"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55FC93B4"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1,6%.</w:t>
            </w:r>
          </w:p>
        </w:tc>
      </w:tr>
      <w:tr w:rsidR="00F91EEB" w:rsidRPr="003B79C4" w14:paraId="0018DCEA"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0E984E5D"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402F25F"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3,2%.</w:t>
            </w:r>
          </w:p>
        </w:tc>
      </w:tr>
      <w:tr w:rsidR="00F91EEB" w:rsidRPr="003B79C4" w14:paraId="491E6B16" w14:textId="77777777" w:rsidTr="008B591F">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54DFAB8A"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23C49F42"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4%.</w:t>
            </w:r>
          </w:p>
        </w:tc>
      </w:tr>
    </w:tbl>
    <w:p w14:paraId="2EFF091A" w14:textId="77777777" w:rsidR="00F91EEB" w:rsidRDefault="00F91EEB" w:rsidP="00F91EEB">
      <w:pPr>
        <w:pStyle w:val="PargrafodaLista"/>
        <w:numPr>
          <w:ilvl w:val="2"/>
          <w:numId w:val="133"/>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3B79C4">
        <w:rPr>
          <w:rFonts w:eastAsia="Times New Roman" w:cs="Times New Roman"/>
          <w:color w:val="000000"/>
          <w:sz w:val="24"/>
          <w:szCs w:val="24"/>
          <w:lang w:eastAsia="pt-BR"/>
        </w:rPr>
        <w:t>Todas as ocorrências contratuais serão registradas pelo CONTRANTE, que notificará a CONTRATADA dos registros. Serão atribuídos níveis para as ocorrências, conforme tabela abaixo:</w:t>
      </w:r>
    </w:p>
    <w:p w14:paraId="090D09AF" w14:textId="77777777" w:rsidR="00F91EEB" w:rsidRPr="003B79C4" w:rsidRDefault="00F91EEB" w:rsidP="00F91EEB">
      <w:pPr>
        <w:pStyle w:val="PargrafodaLista"/>
        <w:spacing w:before="240" w:line="360" w:lineRule="auto"/>
        <w:ind w:left="709"/>
        <w:jc w:val="center"/>
        <w:rPr>
          <w:rFonts w:eastAsia="Times New Roman" w:cs="Times New Roman"/>
          <w:color w:val="000000"/>
          <w:sz w:val="24"/>
          <w:szCs w:val="24"/>
          <w:lang w:eastAsia="pt-BR"/>
        </w:rPr>
      </w:pPr>
      <w:r w:rsidRPr="003B79C4">
        <w:rPr>
          <w:rFonts w:eastAsia="Times New Roman" w:cs="Times New Roman"/>
          <w:b/>
          <w:bCs/>
          <w:color w:val="000000"/>
          <w:sz w:val="24"/>
          <w:szCs w:val="24"/>
          <w:lang w:eastAsia="pt-BR"/>
        </w:rPr>
        <w:t>Tabela 3: Infrações e correspondentes níveis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75"/>
        <w:gridCol w:w="8387"/>
        <w:gridCol w:w="660"/>
      </w:tblGrid>
      <w:tr w:rsidR="00F91EEB" w:rsidRPr="003B79C4" w14:paraId="307B9752" w14:textId="77777777" w:rsidTr="008B591F">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54392CE1"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b/>
                <w:bCs/>
                <w:sz w:val="20"/>
                <w:szCs w:val="20"/>
                <w:lang w:eastAsia="pt-BR"/>
              </w:rPr>
              <w:t>INFRAÇÃO</w:t>
            </w:r>
          </w:p>
        </w:tc>
      </w:tr>
      <w:tr w:rsidR="00F91EEB" w:rsidRPr="003B79C4" w14:paraId="2556CE7F"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068E7A1"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38ABFDD" w14:textId="77777777" w:rsidR="00F91EEB" w:rsidRPr="003B79C4" w:rsidRDefault="00F91EEB" w:rsidP="008B591F">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CEF59DA"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Nível</w:t>
            </w:r>
          </w:p>
        </w:tc>
      </w:tr>
      <w:tr w:rsidR="00F91EEB" w:rsidRPr="003B79C4" w14:paraId="2ED46039"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E3CB0DC"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959AFC7"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10B9468E"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F91EEB" w:rsidRPr="003B79C4" w14:paraId="6DE03F37"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47C2BBF"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AA70B56"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056AD0FD"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F91EEB" w:rsidRPr="003B79C4" w14:paraId="56046B7E"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EE621DB"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DADB894"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3C8F06CB"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F91EEB" w:rsidRPr="003B79C4" w14:paraId="265D4150"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29CA123"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DDE5F75"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6700D7A2"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F91EEB" w:rsidRPr="003B79C4" w14:paraId="4D3559E0"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29F5D45"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6CA1DA6"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Deixar de relacionar-se com O CONTRATANTE, exclusivamente, por meio do fiscal do </w:t>
            </w:r>
            <w:r>
              <w:rPr>
                <w:rFonts w:eastAsia="Times New Roman" w:cs="Times New Roman"/>
                <w:sz w:val="20"/>
                <w:szCs w:val="20"/>
                <w:lang w:eastAsia="pt-BR"/>
              </w:rPr>
              <w:t>c</w:t>
            </w:r>
            <w:r w:rsidRPr="003B79C4">
              <w:rPr>
                <w:rFonts w:eastAsia="Times New Roman" w:cs="Times New Roman"/>
                <w:sz w:val="20"/>
                <w:szCs w:val="20"/>
                <w:lang w:eastAsia="pt-BR"/>
              </w:rPr>
              <w:t>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2E02D43"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F91EEB" w:rsidRPr="003B79C4" w14:paraId="0BCAF995"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2C5CDDB"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976F81D"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se sujeitar à fiscalização do CONTRATANTE, que inclui o atendimento às 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4195B28"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r>
      <w:tr w:rsidR="00F91EEB" w:rsidRPr="003B79C4" w14:paraId="38B77B54"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4D579E9"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CB29CA4"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3B2FED83"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F91EEB" w:rsidRPr="003B79C4" w14:paraId="3338A9B5"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2031CF4"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C7ABBDE"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0B861DFA"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F91EEB" w:rsidRPr="003B79C4" w14:paraId="20D69484"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FD34CD6"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8377D8B"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3D80221"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F91EEB" w:rsidRPr="003B79C4" w14:paraId="56F4C119"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30C4E56"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w:t>
            </w:r>
            <w:r>
              <w:rPr>
                <w:rFonts w:eastAsia="Times New Roman" w:cs="Times New Roman"/>
                <w:sz w:val="20"/>
                <w:szCs w:val="20"/>
                <w:lang w:eastAsia="pt-BR"/>
              </w:rPr>
              <w:t>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A2636E5"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714E07B"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F91EEB" w:rsidRPr="003B79C4" w14:paraId="6FB3BF20"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6A0C3F0"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0897838"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4D5F8BA"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4</w:t>
            </w:r>
          </w:p>
        </w:tc>
      </w:tr>
      <w:tr w:rsidR="00F91EEB" w:rsidRPr="003B79C4" w14:paraId="70431250"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DB81A5F"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AD89024"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disponibilizar e manter atualizados conta de </w:t>
            </w:r>
            <w:r w:rsidRPr="003B79C4">
              <w:rPr>
                <w:rFonts w:eastAsia="Times New Roman" w:cs="Times New Roman"/>
                <w:i/>
                <w:iCs/>
                <w:sz w:val="20"/>
                <w:szCs w:val="20"/>
                <w:lang w:eastAsia="pt-BR"/>
              </w:rPr>
              <w:t>e-mail, </w:t>
            </w:r>
            <w:r w:rsidRPr="003B79C4">
              <w:rPr>
                <w:rFonts w:eastAsia="Times New Roman" w:cs="Times New Roman"/>
                <w:sz w:val="20"/>
                <w:szCs w:val="20"/>
                <w:lang w:eastAsia="pt-BR"/>
              </w:rPr>
              <w:t>endereço e telefones comerciais</w:t>
            </w:r>
            <w:r w:rsidRPr="003B79C4">
              <w:rPr>
                <w:rFonts w:eastAsia="Times New Roman" w:cs="Times New Roman"/>
                <w:i/>
                <w:iCs/>
                <w:sz w:val="20"/>
                <w:szCs w:val="20"/>
                <w:lang w:eastAsia="pt-BR"/>
              </w:rPr>
              <w:t> </w:t>
            </w:r>
            <w:r w:rsidRPr="003B79C4">
              <w:rPr>
                <w:rFonts w:eastAsia="Times New Roman" w:cs="Times New Roman"/>
                <w:sz w:val="20"/>
                <w:szCs w:val="20"/>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611EA8EA"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w:t>
            </w:r>
          </w:p>
        </w:tc>
      </w:tr>
      <w:tr w:rsidR="00F91EEB" w:rsidRPr="003B79C4" w14:paraId="12C00B9F"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8228A30"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01C287B"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349D6BF"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F91EEB" w:rsidRPr="003B79C4" w14:paraId="2812FA2B"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C8A8902"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B6FF0D"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encaminhar documentos fiscais e todas</w:t>
            </w:r>
            <w:r>
              <w:rPr>
                <w:rFonts w:eastAsia="Times New Roman" w:cs="Times New Roman"/>
                <w:sz w:val="20"/>
                <w:szCs w:val="20"/>
                <w:lang w:eastAsia="pt-BR"/>
              </w:rPr>
              <w:t xml:space="preserve"> as</w:t>
            </w:r>
            <w:r w:rsidRPr="003B79C4">
              <w:rPr>
                <w:rFonts w:eastAsia="Times New Roman" w:cs="Times New Roman"/>
                <w:sz w:val="20"/>
                <w:szCs w:val="20"/>
                <w:lang w:eastAsia="pt-BR"/>
              </w:rPr>
              <w:t xml:space="preserve">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C6349CD"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r>
      <w:tr w:rsidR="00F91EEB" w:rsidRPr="003B79C4" w14:paraId="05E4447A"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B13FC0A"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8B90338"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Deixar de relatar à CONTRATANTE toda e quaisquer irregularidades ocorridas, que impeça, altere ou retarde a execução do </w:t>
            </w:r>
            <w:r>
              <w:rPr>
                <w:rFonts w:eastAsia="Times New Roman" w:cs="Times New Roman"/>
                <w:sz w:val="20"/>
                <w:szCs w:val="20"/>
                <w:lang w:eastAsia="pt-BR"/>
              </w:rPr>
              <w:t>c</w:t>
            </w:r>
            <w:r w:rsidRPr="003B79C4">
              <w:rPr>
                <w:rFonts w:eastAsia="Times New Roman" w:cs="Times New Roman"/>
                <w:sz w:val="20"/>
                <w:szCs w:val="20"/>
                <w:lang w:eastAsia="pt-BR"/>
              </w:rPr>
              <w:t>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CBD5148"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F91EEB" w:rsidRPr="003B79C4" w14:paraId="09F75EDE"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1239F9D"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EAF12B7"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4D6DD7A9"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F91EEB" w:rsidRPr="003B79C4" w14:paraId="58875CFD"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1FF1069"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1257AF6"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5EB2214"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F91EEB" w:rsidRPr="003B79C4" w14:paraId="44F3CC6A" w14:textId="77777777" w:rsidTr="008B591F">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C073C56" w14:textId="77777777" w:rsidR="00F91EEB" w:rsidRPr="003B79C4" w:rsidRDefault="00F91EEB" w:rsidP="008B591F">
            <w:pPr>
              <w:spacing w:line="360" w:lineRule="auto"/>
              <w:jc w:val="both"/>
              <w:rPr>
                <w:rFonts w:eastAsia="Times New Roman" w:cs="Times New Roman"/>
                <w:sz w:val="20"/>
                <w:szCs w:val="20"/>
                <w:lang w:eastAsia="pt-BR"/>
              </w:rPr>
            </w:pPr>
            <w:r>
              <w:rPr>
                <w:rFonts w:eastAsia="Times New Roman" w:cs="Times New Roman"/>
                <w:sz w:val="20"/>
                <w:szCs w:val="20"/>
                <w:lang w:eastAsia="pt-BR"/>
              </w:rPr>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CA294B3"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242F4842" w14:textId="77777777" w:rsidR="00F91EEB" w:rsidRPr="003B79C4" w:rsidRDefault="00F91EEB" w:rsidP="008B591F">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bl>
    <w:p w14:paraId="57F5E070" w14:textId="77777777" w:rsidR="00F91EEB" w:rsidRDefault="00F91EEB" w:rsidP="00F91EEB">
      <w:pPr>
        <w:pStyle w:val="PargrafodaLista"/>
        <w:numPr>
          <w:ilvl w:val="2"/>
          <w:numId w:val="133"/>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CF38D8">
        <w:rPr>
          <w:rFonts w:eastAsia="Times New Roman" w:cs="Times New Roman"/>
          <w:color w:val="00000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14:paraId="0EB0120A" w14:textId="77777777" w:rsidR="00F91EEB" w:rsidRDefault="00F91EEB" w:rsidP="00F91EEB">
      <w:pPr>
        <w:pStyle w:val="PargrafodaLista"/>
        <w:numPr>
          <w:ilvl w:val="2"/>
          <w:numId w:val="133"/>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CF38D8">
        <w:rPr>
          <w:rFonts w:eastAsia="Times New Roman" w:cs="Times New Roman"/>
          <w:color w:val="000000"/>
          <w:sz w:val="24"/>
          <w:szCs w:val="24"/>
          <w:lang w:eastAsia="pt-BR"/>
        </w:rPr>
        <w:t>A inexecução parcial ou total do contrato será configurada, entre outras hipóteses, na ocorrência de, pelo menos, uma das seguintes situações:</w:t>
      </w:r>
    </w:p>
    <w:p w14:paraId="13B0CBF3" w14:textId="77777777" w:rsidR="00F91EEB" w:rsidRPr="00CF38D8" w:rsidRDefault="00F91EEB" w:rsidP="00F91EEB">
      <w:pPr>
        <w:spacing w:before="240" w:line="360" w:lineRule="auto"/>
        <w:jc w:val="center"/>
        <w:rPr>
          <w:rFonts w:eastAsia="Times New Roman" w:cs="Times New Roman"/>
          <w:color w:val="000000"/>
          <w:lang w:eastAsia="pt-BR"/>
        </w:rPr>
      </w:pPr>
      <w:r w:rsidRPr="00CF38D8">
        <w:rPr>
          <w:rFonts w:eastAsia="Times New Roman" w:cs="Times New Roman"/>
          <w:b/>
          <w:bCs/>
          <w:color w:val="000000"/>
          <w:lang w:eastAsia="pt-BR"/>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F91EEB" w:rsidRPr="00CF38D8" w14:paraId="419B9515" w14:textId="77777777" w:rsidTr="008B591F">
        <w:trPr>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008CD33E"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br/>
            </w:r>
          </w:p>
          <w:p w14:paraId="35909A36"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b/>
                <w:bCs/>
                <w:sz w:val="20"/>
                <w:szCs w:val="20"/>
                <w:lang w:eastAsia="pt-BR"/>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0778D54D"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b/>
                <w:bCs/>
                <w:sz w:val="20"/>
                <w:szCs w:val="20"/>
                <w:lang w:eastAsia="pt-BR"/>
              </w:rPr>
              <w:lastRenderedPageBreak/>
              <w:t>QUANTIDADE DE INFRAÇÕES</w:t>
            </w:r>
          </w:p>
        </w:tc>
      </w:tr>
      <w:tr w:rsidR="00F91EEB" w:rsidRPr="00CF38D8" w14:paraId="6077C675" w14:textId="77777777" w:rsidTr="008B591F">
        <w:trPr>
          <w:tblCellSpacing w:w="0" w:type="dxa"/>
        </w:trPr>
        <w:tc>
          <w:tcPr>
            <w:tcW w:w="781" w:type="pct"/>
            <w:vMerge/>
            <w:tcBorders>
              <w:top w:val="outset" w:sz="6" w:space="0" w:color="auto"/>
              <w:left w:val="outset" w:sz="6" w:space="0" w:color="auto"/>
              <w:bottom w:val="outset" w:sz="6" w:space="0" w:color="auto"/>
              <w:right w:val="outset" w:sz="6" w:space="0" w:color="auto"/>
            </w:tcBorders>
            <w:vAlign w:val="center"/>
            <w:hideMark/>
          </w:tcPr>
          <w:p w14:paraId="08B3239E" w14:textId="77777777" w:rsidR="00F91EEB" w:rsidRPr="00CF38D8" w:rsidRDefault="00F91EEB" w:rsidP="008B591F">
            <w:pPr>
              <w:spacing w:line="360" w:lineRule="auto"/>
              <w:jc w:val="center"/>
              <w:rPr>
                <w:rFonts w:eastAsia="Times New Roman" w:cs="Times New Roman"/>
                <w:sz w:val="20"/>
                <w:szCs w:val="20"/>
                <w:lang w:eastAsia="pt-BR"/>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5B6A27D5"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2870281"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Inexecução Total</w:t>
            </w:r>
          </w:p>
        </w:tc>
      </w:tr>
      <w:tr w:rsidR="00F91EEB" w:rsidRPr="00CF38D8" w14:paraId="1C393E06" w14:textId="77777777" w:rsidTr="008B591F">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6E056E29"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1601E2B"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3F723A74"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12 ou mais</w:t>
            </w:r>
          </w:p>
        </w:tc>
      </w:tr>
      <w:tr w:rsidR="00F91EEB" w:rsidRPr="00CF38D8" w14:paraId="7A89C404" w14:textId="77777777" w:rsidTr="008B591F">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5B0D2367"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2213FB3D"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739A1E4F"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11 ou mais</w:t>
            </w:r>
          </w:p>
        </w:tc>
      </w:tr>
      <w:tr w:rsidR="00F91EEB" w:rsidRPr="00CF38D8" w14:paraId="38B76EA4" w14:textId="77777777" w:rsidTr="008B591F">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231CF75"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BF074AD"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72B8DB06"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10 ou mais</w:t>
            </w:r>
          </w:p>
        </w:tc>
      </w:tr>
      <w:tr w:rsidR="00F91EEB" w:rsidRPr="00CF38D8" w14:paraId="7A562AB2" w14:textId="77777777" w:rsidTr="008B591F">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701C4DFC"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8E8B689"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2AF4E27"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7 ou mais</w:t>
            </w:r>
          </w:p>
        </w:tc>
      </w:tr>
      <w:tr w:rsidR="00F91EEB" w:rsidRPr="00CF38D8" w14:paraId="3A359411" w14:textId="77777777" w:rsidTr="008B591F">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56B0EA85"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C21D3E5"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18CAE165"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 ou mais</w:t>
            </w:r>
          </w:p>
        </w:tc>
      </w:tr>
      <w:tr w:rsidR="00F91EEB" w:rsidRPr="00CF38D8" w14:paraId="06B1DA3C" w14:textId="77777777" w:rsidTr="008B591F">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347E28BE"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6EDCF52"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4C3775DF" w14:textId="77777777" w:rsidR="00F91EEB" w:rsidRPr="00CF38D8" w:rsidRDefault="00F91EEB" w:rsidP="008B591F">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 ou mais</w:t>
            </w:r>
          </w:p>
        </w:tc>
      </w:tr>
    </w:tbl>
    <w:p w14:paraId="700DEAB0" w14:textId="77777777" w:rsidR="00F91EEB" w:rsidRPr="006624B7" w:rsidRDefault="00F91EEB" w:rsidP="00F91EEB">
      <w:pPr>
        <w:pStyle w:val="PargrafodaLista"/>
        <w:numPr>
          <w:ilvl w:val="0"/>
          <w:numId w:val="133"/>
        </w:numPr>
        <w:shd w:val="clear" w:color="auto" w:fill="D9D9D9" w:themeFill="background1" w:themeFillShade="D9"/>
        <w:suppressAutoHyphens w:val="0"/>
        <w:spacing w:before="240"/>
        <w:contextualSpacing/>
        <w:jc w:val="both"/>
        <w:textAlignment w:val="auto"/>
        <w:rPr>
          <w:rFonts w:eastAsia="Times New Roman" w:cs="Times New Roman"/>
          <w:b/>
          <w:bCs/>
          <w:color w:val="000000"/>
          <w:sz w:val="24"/>
          <w:szCs w:val="24"/>
          <w:lang w:eastAsia="pt-BR"/>
        </w:rPr>
      </w:pPr>
      <w:r w:rsidRPr="006624B7">
        <w:rPr>
          <w:rFonts w:eastAsia="Times New Roman" w:cs="Times New Roman"/>
          <w:b/>
          <w:bCs/>
          <w:color w:val="000000"/>
          <w:sz w:val="24"/>
          <w:szCs w:val="24"/>
          <w:lang w:eastAsia="pt-BR"/>
        </w:rPr>
        <w:t>DA LEI GERAL DE PROTEÇÃO DE DADOS - LEI Nº 13.709/2018</w:t>
      </w:r>
    </w:p>
    <w:p w14:paraId="60F1594C" w14:textId="77777777" w:rsidR="00F91EEB" w:rsidRPr="0051586B" w:rsidRDefault="00F91EEB" w:rsidP="00F91EEB">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51586B">
        <w:rPr>
          <w:rFonts w:eastAsia="Times New Roman" w:cs="Times New Roman"/>
          <w:bCs/>
          <w:color w:val="000000"/>
          <w:sz w:val="24"/>
          <w:szCs w:val="24"/>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5FBA016" w14:textId="77777777" w:rsidR="00F91EEB" w:rsidRPr="0051586B" w:rsidRDefault="00F91EEB" w:rsidP="00F91EEB">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51586B">
        <w:rPr>
          <w:rFonts w:eastAsia="Times New Roman" w:cs="Times New Roman"/>
          <w:bCs/>
          <w:color w:val="000000"/>
          <w:sz w:val="24"/>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41393FEA" w14:textId="77777777" w:rsidR="00F91EEB" w:rsidRPr="0051586B" w:rsidRDefault="00F91EEB" w:rsidP="00F91EEB">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51586B">
        <w:rPr>
          <w:rFonts w:eastAsia="Times New Roman" w:cs="Times New Roman"/>
          <w:bCs/>
          <w:color w:val="000000"/>
          <w:sz w:val="24"/>
          <w:szCs w:val="24"/>
          <w:lang w:eastAsia="pt-BR"/>
        </w:rPr>
        <w:t xml:space="preserve">A Contratada fica obrigada a comunicar ao CNMP, em </w:t>
      </w:r>
      <w:r w:rsidRPr="00DC49B1">
        <w:rPr>
          <w:rFonts w:eastAsia="Times New Roman" w:cs="Times New Roman"/>
          <w:bCs/>
          <w:sz w:val="24"/>
          <w:szCs w:val="24"/>
          <w:lang w:eastAsia="pt-BR"/>
        </w:rPr>
        <w:t xml:space="preserve">até 2 (dois) dias do </w:t>
      </w:r>
      <w:r w:rsidRPr="0051586B">
        <w:rPr>
          <w:rFonts w:eastAsia="Times New Roman" w:cs="Times New Roman"/>
          <w:bCs/>
          <w:color w:val="000000"/>
          <w:sz w:val="24"/>
          <w:szCs w:val="24"/>
          <w:lang w:eastAsia="pt-BR"/>
        </w:rPr>
        <w:t>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C55B844" w14:textId="77777777" w:rsidR="00F91EEB" w:rsidRPr="0051586B" w:rsidRDefault="00F91EEB" w:rsidP="00F91EEB">
      <w:pPr>
        <w:pStyle w:val="PargrafodaLista"/>
        <w:numPr>
          <w:ilvl w:val="1"/>
          <w:numId w:val="133"/>
        </w:numPr>
        <w:suppressAutoHyphens w:val="0"/>
        <w:spacing w:before="240"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F8AF4C1" w14:textId="77777777" w:rsidR="00F91EEB" w:rsidRPr="0051586B" w:rsidRDefault="00F91EEB" w:rsidP="00F91EEB">
      <w:pPr>
        <w:pStyle w:val="PargrafodaLista"/>
        <w:numPr>
          <w:ilvl w:val="1"/>
          <w:numId w:val="133"/>
        </w:numPr>
        <w:suppressAutoHyphens w:val="0"/>
        <w:spacing w:before="240" w:line="360" w:lineRule="auto"/>
        <w:contextualSpacing/>
        <w:jc w:val="both"/>
        <w:textAlignment w:val="auto"/>
        <w:rPr>
          <w:rFonts w:eastAsia="Times New Roman" w:cs="Times New Roman"/>
          <w:color w:val="000000"/>
          <w:sz w:val="24"/>
          <w:szCs w:val="24"/>
          <w:lang w:eastAsia="pt-BR"/>
        </w:rPr>
      </w:pPr>
      <w:r w:rsidRPr="3427274B">
        <w:rPr>
          <w:rFonts w:eastAsia="Times New Roman" w:cs="Times New Roman"/>
          <w:color w:val="000000" w:themeColor="text1"/>
          <w:sz w:val="24"/>
          <w:szCs w:val="24"/>
          <w:lang w:eastAsia="pt-BR"/>
        </w:rPr>
        <w:t>Eventuais responsabilidades das partes serão apuradas conforme estabelecido neste contrato e também de acordo com o que dispõe a Seção III, Capítulo VI da LGPD.</w:t>
      </w:r>
    </w:p>
    <w:p w14:paraId="275534CC" w14:textId="75534CFF" w:rsidR="006163E8" w:rsidRDefault="00F91EEB" w:rsidP="0050602B">
      <w:pPr>
        <w:ind w:left="2836"/>
        <w:rPr>
          <w:b/>
          <w:u w:val="single"/>
        </w:rPr>
      </w:pPr>
      <w:r>
        <w:rPr>
          <w:rFonts w:eastAsia="Times New Roman" w:cs="Times New Roman"/>
          <w:b/>
        </w:rPr>
        <w:br w:type="page"/>
      </w:r>
      <w:r w:rsidR="00F3734E">
        <w:rPr>
          <w:b/>
          <w:u w:val="single"/>
        </w:rPr>
        <w:lastRenderedPageBreak/>
        <w:t>E</w:t>
      </w:r>
      <w:r w:rsidR="006163E8">
        <w:rPr>
          <w:b/>
          <w:u w:val="single"/>
        </w:rPr>
        <w:t xml:space="preserve">DITAL DE LICITAÇÃO </w:t>
      </w:r>
      <w:r w:rsidR="0048594A">
        <w:rPr>
          <w:b/>
          <w:u w:val="single"/>
        </w:rPr>
        <w:t xml:space="preserve">Nº </w:t>
      </w:r>
      <w:r w:rsidR="002D0B42">
        <w:rPr>
          <w:b/>
          <w:u w:val="single"/>
        </w:rPr>
        <w:t>22</w:t>
      </w:r>
      <w:r w:rsidR="00F87211">
        <w:rPr>
          <w:b/>
          <w:u w:val="single"/>
        </w:rPr>
        <w:t>/202</w:t>
      </w:r>
      <w:r w:rsidR="006B00EF">
        <w:rPr>
          <w:b/>
          <w:u w:val="single"/>
        </w:rPr>
        <w:t>2</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04689E0D" w:rsidR="00E82B2D" w:rsidRDefault="006163E8" w:rsidP="00D52240">
      <w:pPr>
        <w:spacing w:line="360" w:lineRule="auto"/>
        <w:jc w:val="center"/>
        <w:rPr>
          <w:b/>
          <w:u w:val="single"/>
        </w:rPr>
      </w:pPr>
      <w:r w:rsidRPr="00E82B2D">
        <w:rPr>
          <w:b/>
          <w:u w:val="single"/>
        </w:rPr>
        <w:t xml:space="preserve">SEI </w:t>
      </w:r>
      <w:r w:rsidR="00E82B2D" w:rsidRPr="00E82B2D">
        <w:rPr>
          <w:b/>
          <w:u w:val="single"/>
        </w:rPr>
        <w:t>19.00.61</w:t>
      </w:r>
      <w:r w:rsidR="00D67D6D">
        <w:rPr>
          <w:b/>
          <w:u w:val="single"/>
        </w:rPr>
        <w:t>5</w:t>
      </w:r>
      <w:r w:rsidR="00E82B2D" w:rsidRPr="00E82B2D">
        <w:rPr>
          <w:b/>
          <w:u w:val="single"/>
        </w:rPr>
        <w:t>0.000</w:t>
      </w:r>
      <w:r w:rsidR="006B00EF">
        <w:rPr>
          <w:b/>
          <w:u w:val="single"/>
        </w:rPr>
        <w:t>2127</w:t>
      </w:r>
      <w:r w:rsidR="00E82B2D" w:rsidRPr="00E82B2D">
        <w:rPr>
          <w:b/>
          <w:u w:val="single"/>
        </w:rPr>
        <w:t>/202</w:t>
      </w:r>
      <w:r w:rsidR="006B00EF">
        <w:rPr>
          <w:b/>
          <w:u w:val="single"/>
        </w:rPr>
        <w:t>2</w:t>
      </w:r>
      <w:r w:rsidR="00E82B2D" w:rsidRPr="00E82B2D">
        <w:rPr>
          <w:b/>
          <w:u w:val="single"/>
        </w:rPr>
        <w:t>-</w:t>
      </w:r>
      <w:r w:rsidR="006B00EF">
        <w:rPr>
          <w:b/>
          <w:u w:val="single"/>
        </w:rPr>
        <w:t>06</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B73ED3B" w14:textId="3C9AEE72" w:rsidR="00E82B2D" w:rsidRDefault="00E82B2D" w:rsidP="00E82B2D">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3C841CD5" w:rsidR="004362CE" w:rsidRDefault="004362CE" w:rsidP="00E82B2D">
      <w:pPr>
        <w:pStyle w:val="Standard"/>
        <w:jc w:val="center"/>
        <w:rPr>
          <w:rFonts w:cs="Times New Roman"/>
          <w:b/>
          <w:sz w:val="24"/>
          <w:szCs w:val="24"/>
          <w:u w:val="single"/>
        </w:rPr>
      </w:pPr>
    </w:p>
    <w:p w14:paraId="3352F57D" w14:textId="77777777" w:rsidR="006B00EF" w:rsidRDefault="006B00EF" w:rsidP="00E82B2D">
      <w:pPr>
        <w:pStyle w:val="Standard"/>
        <w:jc w:val="center"/>
        <w:rPr>
          <w:rFonts w:cs="Times New Roman"/>
          <w:b/>
          <w:sz w:val="24"/>
          <w:szCs w:val="24"/>
          <w:u w:val="single"/>
        </w:rPr>
      </w:pPr>
    </w:p>
    <w:p w14:paraId="6ED1A561" w14:textId="77777777" w:rsidR="00387F1F" w:rsidRDefault="00387F1F" w:rsidP="00387F1F">
      <w:pPr>
        <w:pStyle w:val="Standard"/>
        <w:jc w:val="both"/>
        <w:rPr>
          <w:rFonts w:cs="Times New Roman"/>
          <w:b/>
          <w:sz w:val="24"/>
          <w:szCs w:val="24"/>
        </w:rPr>
      </w:pPr>
      <w:r>
        <w:rPr>
          <w:rFonts w:cs="Times New Roman"/>
          <w:b/>
          <w:sz w:val="24"/>
          <w:szCs w:val="24"/>
        </w:rPr>
        <w:t>AO CONSELHO NACIONAL do MINISTÉRIO PÚBLICO</w:t>
      </w:r>
    </w:p>
    <w:p w14:paraId="7BC2780A" w14:textId="77777777" w:rsidR="00387F1F" w:rsidRDefault="00387F1F" w:rsidP="00387F1F">
      <w:pPr>
        <w:pStyle w:val="Standard"/>
        <w:rPr>
          <w:rFonts w:cs="Times New Roman"/>
          <w:b/>
          <w:sz w:val="24"/>
          <w:szCs w:val="24"/>
        </w:rPr>
      </w:pPr>
    </w:p>
    <w:p w14:paraId="6E8416EF" w14:textId="77777777" w:rsidR="00387F1F" w:rsidRDefault="00387F1F" w:rsidP="00387F1F">
      <w:pPr>
        <w:pStyle w:val="Standard"/>
        <w:rPr>
          <w:rFonts w:cs="Times New Roman"/>
          <w:b/>
          <w:sz w:val="24"/>
          <w:szCs w:val="24"/>
        </w:rPr>
      </w:pPr>
      <w:r>
        <w:rPr>
          <w:rFonts w:cs="Times New Roman"/>
          <w:b/>
          <w:sz w:val="24"/>
          <w:szCs w:val="24"/>
        </w:rPr>
        <w:t>Dados da Empresa</w:t>
      </w:r>
    </w:p>
    <w:p w14:paraId="5C70C00A" w14:textId="77777777" w:rsidR="00387F1F" w:rsidRDefault="00387F1F" w:rsidP="00387F1F">
      <w:pPr>
        <w:pStyle w:val="Standard"/>
        <w:rPr>
          <w:rFonts w:cs="Times New Roman"/>
          <w:sz w:val="24"/>
          <w:szCs w:val="24"/>
        </w:rPr>
      </w:pPr>
      <w:r>
        <w:rPr>
          <w:rFonts w:cs="Times New Roman"/>
          <w:sz w:val="24"/>
          <w:szCs w:val="24"/>
        </w:rPr>
        <w:t>Razão Social:</w:t>
      </w:r>
    </w:p>
    <w:p w14:paraId="6C842B27" w14:textId="77777777" w:rsidR="00387F1F" w:rsidRDefault="00387F1F" w:rsidP="00387F1F">
      <w:pPr>
        <w:pStyle w:val="Standard"/>
        <w:rPr>
          <w:rFonts w:cs="Times New Roman"/>
          <w:sz w:val="24"/>
          <w:szCs w:val="24"/>
        </w:rPr>
      </w:pPr>
      <w:r>
        <w:rPr>
          <w:rFonts w:cs="Times New Roman"/>
          <w:sz w:val="24"/>
          <w:szCs w:val="24"/>
        </w:rPr>
        <w:t>CNPJ:</w:t>
      </w:r>
    </w:p>
    <w:p w14:paraId="25786A1C" w14:textId="77777777" w:rsidR="00387F1F" w:rsidRDefault="00387F1F" w:rsidP="00387F1F">
      <w:pPr>
        <w:pStyle w:val="Standard"/>
        <w:rPr>
          <w:rFonts w:cs="Times New Roman"/>
          <w:sz w:val="24"/>
          <w:szCs w:val="24"/>
        </w:rPr>
      </w:pPr>
      <w:r>
        <w:rPr>
          <w:rFonts w:cs="Times New Roman"/>
          <w:sz w:val="24"/>
          <w:szCs w:val="24"/>
        </w:rPr>
        <w:t>Endereço Eletrônico (</w:t>
      </w:r>
      <w:r>
        <w:rPr>
          <w:rFonts w:cs="Times New Roman"/>
          <w:i/>
          <w:sz w:val="24"/>
          <w:szCs w:val="24"/>
        </w:rPr>
        <w:t>e-mail</w:t>
      </w:r>
      <w:r>
        <w:rPr>
          <w:rFonts w:cs="Times New Roman"/>
          <w:sz w:val="24"/>
          <w:szCs w:val="24"/>
        </w:rPr>
        <w:t>):</w:t>
      </w:r>
    </w:p>
    <w:p w14:paraId="178B803A" w14:textId="77777777" w:rsidR="00387F1F" w:rsidRPr="000D5906" w:rsidRDefault="00387F1F" w:rsidP="00387F1F">
      <w:pPr>
        <w:pStyle w:val="Standard"/>
        <w:rPr>
          <w:rFonts w:cs="Times New Roman"/>
          <w:sz w:val="24"/>
          <w:szCs w:val="24"/>
        </w:rPr>
      </w:pPr>
      <w:proofErr w:type="spellStart"/>
      <w:r w:rsidRPr="000D5906">
        <w:rPr>
          <w:rFonts w:cs="Times New Roman"/>
          <w:sz w:val="24"/>
          <w:szCs w:val="24"/>
        </w:rPr>
        <w:t>Tel</w:t>
      </w:r>
      <w:proofErr w:type="spellEnd"/>
      <w:r w:rsidRPr="000D5906">
        <w:rPr>
          <w:rFonts w:cs="Times New Roman"/>
          <w:sz w:val="24"/>
          <w:szCs w:val="24"/>
        </w:rPr>
        <w:t>/Fax:</w:t>
      </w:r>
    </w:p>
    <w:p w14:paraId="5DC2F28E" w14:textId="77777777" w:rsidR="00387F1F" w:rsidRPr="000D5906" w:rsidRDefault="00387F1F" w:rsidP="00387F1F">
      <w:pPr>
        <w:pStyle w:val="Standard"/>
        <w:rPr>
          <w:rFonts w:cs="Times New Roman"/>
          <w:sz w:val="24"/>
          <w:szCs w:val="24"/>
        </w:rPr>
      </w:pPr>
      <w:r w:rsidRPr="000D5906">
        <w:rPr>
          <w:rFonts w:cs="Times New Roman"/>
          <w:sz w:val="24"/>
          <w:szCs w:val="24"/>
        </w:rPr>
        <w:t>Endereço:</w:t>
      </w:r>
    </w:p>
    <w:p w14:paraId="1AE0285A" w14:textId="77777777" w:rsidR="00387F1F" w:rsidRPr="000D5906" w:rsidRDefault="00387F1F" w:rsidP="00387F1F">
      <w:pPr>
        <w:pStyle w:val="Standard"/>
        <w:rPr>
          <w:rFonts w:cs="Times New Roman"/>
          <w:sz w:val="24"/>
          <w:szCs w:val="24"/>
        </w:rPr>
      </w:pPr>
      <w:r w:rsidRPr="000D5906">
        <w:rPr>
          <w:rFonts w:cs="Times New Roman"/>
          <w:sz w:val="24"/>
          <w:szCs w:val="24"/>
        </w:rPr>
        <w:t>Nome:</w:t>
      </w:r>
    </w:p>
    <w:p w14:paraId="2478B45A" w14:textId="77777777" w:rsidR="00387F1F" w:rsidRPr="000D5906" w:rsidRDefault="00387F1F" w:rsidP="00387F1F">
      <w:pPr>
        <w:pStyle w:val="Standard"/>
        <w:rPr>
          <w:rFonts w:cs="Times New Roman"/>
          <w:sz w:val="24"/>
          <w:szCs w:val="24"/>
        </w:rPr>
      </w:pPr>
      <w:r w:rsidRPr="000D5906">
        <w:rPr>
          <w:rFonts w:cs="Times New Roman"/>
          <w:sz w:val="24"/>
          <w:szCs w:val="24"/>
        </w:rPr>
        <w:t>Cargo:</w:t>
      </w:r>
    </w:p>
    <w:p w14:paraId="45ABA840" w14:textId="77777777" w:rsidR="00387F1F" w:rsidRDefault="00387F1F" w:rsidP="00387F1F">
      <w:pPr>
        <w:pStyle w:val="Standard"/>
        <w:rPr>
          <w:rFonts w:cs="Times New Roman"/>
          <w:sz w:val="24"/>
          <w:szCs w:val="24"/>
        </w:rPr>
      </w:pPr>
      <w:r w:rsidRPr="000D5906">
        <w:rPr>
          <w:rFonts w:cs="Times New Roman"/>
          <w:sz w:val="24"/>
          <w:szCs w:val="24"/>
        </w:rPr>
        <w:t>Validade da proposta: (mínimo 60 dias)</w:t>
      </w:r>
    </w:p>
    <w:p w14:paraId="5CBA233B" w14:textId="1A677A2D" w:rsidR="003E7528" w:rsidRDefault="003E7528" w:rsidP="00387F1F">
      <w:pPr>
        <w:pStyle w:val="Standard"/>
        <w:rPr>
          <w:rFonts w:cs="Times New Roman"/>
          <w:sz w:val="24"/>
          <w:szCs w:val="24"/>
        </w:rPr>
      </w:pPr>
      <w:r>
        <w:rPr>
          <w:rFonts w:cs="Times New Roman"/>
          <w:sz w:val="24"/>
          <w:szCs w:val="24"/>
        </w:rPr>
        <w:t xml:space="preserve">Validade da Garantia: </w:t>
      </w:r>
      <w:r w:rsidR="00D47465">
        <w:rPr>
          <w:rFonts w:cs="Times New Roman"/>
          <w:sz w:val="24"/>
          <w:szCs w:val="24"/>
        </w:rPr>
        <w:t>(mínimo 12 meses)</w:t>
      </w:r>
    </w:p>
    <w:p w14:paraId="36B30CF2" w14:textId="77777777" w:rsidR="00A95C0E" w:rsidRDefault="00A95C0E" w:rsidP="00387F1F">
      <w:pPr>
        <w:pStyle w:val="Standard"/>
        <w:rPr>
          <w:rFonts w:cs="Times New Roman"/>
          <w:sz w:val="24"/>
          <w:szCs w:val="24"/>
        </w:rPr>
      </w:pPr>
    </w:p>
    <w:p w14:paraId="23672FA2" w14:textId="77777777" w:rsidR="00A95C0E" w:rsidRDefault="00A95C0E" w:rsidP="00A95C0E">
      <w:pPr>
        <w:pStyle w:val="Standard"/>
        <w:rPr>
          <w:rFonts w:cs="Times New Roman"/>
          <w:b/>
          <w:bCs/>
          <w:sz w:val="24"/>
          <w:szCs w:val="24"/>
        </w:rPr>
      </w:pPr>
    </w:p>
    <w:tbl>
      <w:tblPr>
        <w:tblStyle w:val="Tabelacomgrade"/>
        <w:tblW w:w="9633" w:type="dxa"/>
        <w:tblInd w:w="-5" w:type="dxa"/>
        <w:tblLayout w:type="fixed"/>
        <w:tblLook w:val="04A0" w:firstRow="1" w:lastRow="0" w:firstColumn="1" w:lastColumn="0" w:noHBand="0" w:noVBand="1"/>
      </w:tblPr>
      <w:tblGrid>
        <w:gridCol w:w="851"/>
        <w:gridCol w:w="1070"/>
        <w:gridCol w:w="1892"/>
        <w:gridCol w:w="894"/>
        <w:gridCol w:w="1672"/>
        <w:gridCol w:w="1134"/>
        <w:gridCol w:w="989"/>
        <w:gridCol w:w="1131"/>
      </w:tblGrid>
      <w:tr w:rsidR="001A00B0" w:rsidRPr="00785FA8" w14:paraId="37939AC0" w14:textId="2631667B" w:rsidTr="00AE1E65">
        <w:trPr>
          <w:tblHeader/>
        </w:trPr>
        <w:tc>
          <w:tcPr>
            <w:tcW w:w="851" w:type="dxa"/>
            <w:shd w:val="clear" w:color="auto" w:fill="D9D9D9" w:themeFill="background1" w:themeFillShade="D9"/>
          </w:tcPr>
          <w:p w14:paraId="489B2A2D" w14:textId="06884C27" w:rsidR="001A00B0" w:rsidRPr="00785FA8" w:rsidRDefault="001A00B0" w:rsidP="00DE240B">
            <w:pPr>
              <w:jc w:val="center"/>
              <w:rPr>
                <w:rFonts w:cs="Times New Roman"/>
                <w:b/>
                <w:bCs/>
                <w:sz w:val="20"/>
                <w:szCs w:val="20"/>
              </w:rPr>
            </w:pPr>
            <w:r w:rsidRPr="00785FA8">
              <w:rPr>
                <w:rFonts w:cs="Times New Roman"/>
                <w:b/>
                <w:bCs/>
                <w:sz w:val="20"/>
                <w:szCs w:val="20"/>
              </w:rPr>
              <w:t>IT</w:t>
            </w:r>
            <w:r>
              <w:rPr>
                <w:rFonts w:cs="Times New Roman"/>
                <w:b/>
                <w:bCs/>
                <w:sz w:val="20"/>
                <w:szCs w:val="20"/>
              </w:rPr>
              <w:t>EM</w:t>
            </w:r>
          </w:p>
        </w:tc>
        <w:tc>
          <w:tcPr>
            <w:tcW w:w="1070" w:type="dxa"/>
            <w:shd w:val="clear" w:color="auto" w:fill="D9D9D9" w:themeFill="background1" w:themeFillShade="D9"/>
          </w:tcPr>
          <w:p w14:paraId="03ADCF67" w14:textId="77777777" w:rsidR="001A00B0" w:rsidRPr="00785FA8" w:rsidRDefault="001A00B0" w:rsidP="00DE240B">
            <w:pPr>
              <w:jc w:val="center"/>
              <w:rPr>
                <w:rFonts w:cs="Times New Roman"/>
                <w:b/>
                <w:bCs/>
                <w:sz w:val="20"/>
                <w:szCs w:val="20"/>
              </w:rPr>
            </w:pPr>
            <w:r w:rsidRPr="00785FA8">
              <w:rPr>
                <w:rFonts w:cs="Times New Roman"/>
                <w:b/>
                <w:bCs/>
                <w:sz w:val="20"/>
                <w:szCs w:val="20"/>
              </w:rPr>
              <w:t>OBJETO</w:t>
            </w:r>
          </w:p>
        </w:tc>
        <w:tc>
          <w:tcPr>
            <w:tcW w:w="1892" w:type="dxa"/>
            <w:shd w:val="clear" w:color="auto" w:fill="D9D9D9" w:themeFill="background1" w:themeFillShade="D9"/>
          </w:tcPr>
          <w:p w14:paraId="3DFA47BC" w14:textId="77777777" w:rsidR="001A00B0" w:rsidRPr="00785FA8" w:rsidRDefault="001A00B0" w:rsidP="00DE240B">
            <w:pPr>
              <w:jc w:val="center"/>
              <w:rPr>
                <w:rFonts w:cs="Times New Roman"/>
                <w:b/>
                <w:bCs/>
                <w:sz w:val="20"/>
                <w:szCs w:val="20"/>
              </w:rPr>
            </w:pPr>
            <w:r w:rsidRPr="00785FA8">
              <w:rPr>
                <w:rFonts w:cs="Times New Roman"/>
                <w:b/>
                <w:bCs/>
                <w:sz w:val="20"/>
                <w:szCs w:val="20"/>
              </w:rPr>
              <w:t>DESCRIÇÃO</w:t>
            </w:r>
          </w:p>
        </w:tc>
        <w:tc>
          <w:tcPr>
            <w:tcW w:w="894" w:type="dxa"/>
            <w:shd w:val="clear" w:color="auto" w:fill="D9D9D9" w:themeFill="background1" w:themeFillShade="D9"/>
          </w:tcPr>
          <w:p w14:paraId="459EBC4E" w14:textId="77777777" w:rsidR="001A00B0" w:rsidRPr="00785FA8" w:rsidRDefault="001A00B0" w:rsidP="00DE240B">
            <w:pPr>
              <w:jc w:val="center"/>
              <w:rPr>
                <w:rFonts w:cs="Times New Roman"/>
                <w:b/>
                <w:bCs/>
                <w:sz w:val="20"/>
                <w:szCs w:val="20"/>
              </w:rPr>
            </w:pPr>
            <w:r w:rsidRPr="00785FA8">
              <w:rPr>
                <w:rFonts w:cs="Times New Roman"/>
                <w:b/>
                <w:bCs/>
                <w:sz w:val="20"/>
                <w:szCs w:val="20"/>
              </w:rPr>
              <w:t>UNID.</w:t>
            </w:r>
          </w:p>
        </w:tc>
        <w:tc>
          <w:tcPr>
            <w:tcW w:w="1672" w:type="dxa"/>
            <w:shd w:val="clear" w:color="auto" w:fill="D9D9D9" w:themeFill="background1" w:themeFillShade="D9"/>
          </w:tcPr>
          <w:p w14:paraId="75AAE156" w14:textId="77777777" w:rsidR="001A00B0" w:rsidRPr="00785FA8" w:rsidRDefault="001A00B0" w:rsidP="00DE240B">
            <w:pPr>
              <w:jc w:val="center"/>
              <w:rPr>
                <w:rFonts w:cs="Times New Roman"/>
                <w:b/>
                <w:bCs/>
                <w:sz w:val="20"/>
                <w:szCs w:val="20"/>
              </w:rPr>
            </w:pPr>
            <w:r w:rsidRPr="00785FA8">
              <w:rPr>
                <w:rFonts w:cs="Times New Roman"/>
                <w:b/>
                <w:bCs/>
                <w:sz w:val="20"/>
                <w:szCs w:val="20"/>
              </w:rPr>
              <w:t>QTDE</w:t>
            </w:r>
          </w:p>
        </w:tc>
        <w:tc>
          <w:tcPr>
            <w:tcW w:w="1134" w:type="dxa"/>
            <w:shd w:val="clear" w:color="auto" w:fill="D9D9D9" w:themeFill="background1" w:themeFillShade="D9"/>
          </w:tcPr>
          <w:p w14:paraId="798AD8FF" w14:textId="77777777" w:rsidR="001A00B0" w:rsidRDefault="001A00B0" w:rsidP="00DE240B">
            <w:pPr>
              <w:jc w:val="center"/>
              <w:rPr>
                <w:rFonts w:cs="Times New Roman"/>
                <w:b/>
                <w:bCs/>
                <w:sz w:val="20"/>
                <w:szCs w:val="20"/>
              </w:rPr>
            </w:pPr>
            <w:r>
              <w:rPr>
                <w:rFonts w:cs="Times New Roman"/>
                <w:b/>
                <w:bCs/>
                <w:sz w:val="20"/>
                <w:szCs w:val="20"/>
              </w:rPr>
              <w:t>MARCA/</w:t>
            </w:r>
          </w:p>
          <w:p w14:paraId="679AADCF" w14:textId="787D49F3" w:rsidR="001A00B0" w:rsidRPr="00785FA8" w:rsidRDefault="001A00B0" w:rsidP="00DE240B">
            <w:pPr>
              <w:jc w:val="center"/>
              <w:rPr>
                <w:rFonts w:cs="Times New Roman"/>
                <w:b/>
                <w:bCs/>
                <w:sz w:val="20"/>
                <w:szCs w:val="20"/>
              </w:rPr>
            </w:pPr>
            <w:r>
              <w:rPr>
                <w:rFonts w:cs="Times New Roman"/>
                <w:b/>
                <w:bCs/>
                <w:sz w:val="20"/>
                <w:szCs w:val="20"/>
              </w:rPr>
              <w:t>MODELO</w:t>
            </w:r>
          </w:p>
        </w:tc>
        <w:tc>
          <w:tcPr>
            <w:tcW w:w="989" w:type="dxa"/>
            <w:shd w:val="clear" w:color="auto" w:fill="D9D9D9" w:themeFill="background1" w:themeFillShade="D9"/>
          </w:tcPr>
          <w:p w14:paraId="74576F44" w14:textId="420495D7" w:rsidR="001A00B0" w:rsidRDefault="001A00B0" w:rsidP="00DE240B">
            <w:pPr>
              <w:jc w:val="center"/>
              <w:rPr>
                <w:rFonts w:cs="Times New Roman"/>
                <w:b/>
                <w:bCs/>
                <w:sz w:val="20"/>
                <w:szCs w:val="20"/>
              </w:rPr>
            </w:pPr>
            <w:r>
              <w:rPr>
                <w:rFonts w:cs="Times New Roman"/>
                <w:b/>
                <w:bCs/>
                <w:sz w:val="20"/>
                <w:szCs w:val="20"/>
              </w:rPr>
              <w:t>VALOR UNIT</w:t>
            </w:r>
            <w:r w:rsidR="00DE240B">
              <w:rPr>
                <w:rFonts w:cs="Times New Roman"/>
                <w:b/>
                <w:bCs/>
                <w:sz w:val="20"/>
                <w:szCs w:val="20"/>
              </w:rPr>
              <w:t>.</w:t>
            </w:r>
          </w:p>
        </w:tc>
        <w:tc>
          <w:tcPr>
            <w:tcW w:w="1131" w:type="dxa"/>
            <w:shd w:val="clear" w:color="auto" w:fill="D9D9D9" w:themeFill="background1" w:themeFillShade="D9"/>
          </w:tcPr>
          <w:p w14:paraId="50354909" w14:textId="2700396E" w:rsidR="001A00B0" w:rsidRDefault="001A00B0" w:rsidP="00DE240B">
            <w:pPr>
              <w:jc w:val="center"/>
              <w:rPr>
                <w:rFonts w:cs="Times New Roman"/>
                <w:b/>
                <w:bCs/>
                <w:sz w:val="20"/>
                <w:szCs w:val="20"/>
              </w:rPr>
            </w:pPr>
            <w:r>
              <w:rPr>
                <w:rFonts w:cs="Times New Roman"/>
                <w:b/>
                <w:bCs/>
                <w:sz w:val="20"/>
                <w:szCs w:val="20"/>
              </w:rPr>
              <w:t>VALOR T</w:t>
            </w:r>
            <w:r w:rsidR="00DE240B">
              <w:rPr>
                <w:rFonts w:cs="Times New Roman"/>
                <w:b/>
                <w:bCs/>
                <w:sz w:val="20"/>
                <w:szCs w:val="20"/>
              </w:rPr>
              <w:t>OTAL</w:t>
            </w:r>
          </w:p>
        </w:tc>
      </w:tr>
      <w:tr w:rsidR="00FF6122" w:rsidRPr="00785FA8" w14:paraId="564F921C" w14:textId="599A37B8" w:rsidTr="00AE1E65">
        <w:tc>
          <w:tcPr>
            <w:tcW w:w="851" w:type="dxa"/>
          </w:tcPr>
          <w:p w14:paraId="34A490FE" w14:textId="77777777" w:rsidR="00FF6122" w:rsidRPr="00785FA8" w:rsidRDefault="00FF6122" w:rsidP="008B591F">
            <w:pPr>
              <w:rPr>
                <w:rFonts w:cs="Times New Roman"/>
                <w:sz w:val="20"/>
                <w:szCs w:val="20"/>
              </w:rPr>
            </w:pPr>
            <w:r>
              <w:rPr>
                <w:rFonts w:cs="Times New Roman"/>
                <w:sz w:val="20"/>
                <w:szCs w:val="20"/>
              </w:rPr>
              <w:t>1</w:t>
            </w:r>
          </w:p>
        </w:tc>
        <w:tc>
          <w:tcPr>
            <w:tcW w:w="1070" w:type="dxa"/>
          </w:tcPr>
          <w:p w14:paraId="285B2090" w14:textId="77777777" w:rsidR="00FF6122" w:rsidRPr="00785FA8" w:rsidRDefault="00FF6122" w:rsidP="008B591F">
            <w:pPr>
              <w:rPr>
                <w:rFonts w:cs="Times New Roman"/>
                <w:sz w:val="20"/>
                <w:szCs w:val="20"/>
              </w:rPr>
            </w:pPr>
            <w:r w:rsidRPr="00785FA8">
              <w:rPr>
                <w:rFonts w:cs="Times New Roman"/>
                <w:sz w:val="20"/>
                <w:szCs w:val="20"/>
              </w:rPr>
              <w:t>Contêiner ou Conte</w:t>
            </w:r>
            <w:r>
              <w:rPr>
                <w:rFonts w:cs="Times New Roman"/>
                <w:sz w:val="20"/>
                <w:szCs w:val="20"/>
              </w:rPr>
              <w:t>n</w:t>
            </w:r>
            <w:r w:rsidRPr="00785FA8">
              <w:rPr>
                <w:rFonts w:cs="Times New Roman"/>
                <w:sz w:val="20"/>
                <w:szCs w:val="20"/>
              </w:rPr>
              <w:t>tor Metálico</w:t>
            </w:r>
          </w:p>
        </w:tc>
        <w:tc>
          <w:tcPr>
            <w:tcW w:w="1892" w:type="dxa"/>
          </w:tcPr>
          <w:p w14:paraId="4AFD084F" w14:textId="5860A00B" w:rsidR="00FF6122" w:rsidRPr="00785FA8" w:rsidRDefault="00FF6122" w:rsidP="008B591F">
            <w:pPr>
              <w:rPr>
                <w:rFonts w:cs="Times New Roman"/>
                <w:sz w:val="20"/>
                <w:szCs w:val="20"/>
              </w:rPr>
            </w:pPr>
            <w:r w:rsidRPr="00785FA8">
              <w:rPr>
                <w:rFonts w:cs="Times New Roman"/>
                <w:sz w:val="20"/>
                <w:szCs w:val="20"/>
              </w:rPr>
              <w:t>- Contentor de Lixo, corpo metálico; com capacidade de 1200 litros; modelo fabricado de acordo com a norma técnica NBR 13334, da Associação Brasileira de Normas Técnicas (ABNT);</w:t>
            </w:r>
            <w:r w:rsidR="0050602B">
              <w:rPr>
                <w:rFonts w:cs="Times New Roman"/>
                <w:sz w:val="20"/>
                <w:szCs w:val="20"/>
              </w:rPr>
              <w:t xml:space="preserve"> </w:t>
            </w:r>
            <w:r w:rsidRPr="00785FA8">
              <w:rPr>
                <w:rFonts w:cs="Times New Roman"/>
                <w:sz w:val="20"/>
                <w:szCs w:val="20"/>
              </w:rPr>
              <w:t>Com dreno no assoalho para escoamento de líquido.</w:t>
            </w:r>
          </w:p>
          <w:p w14:paraId="683489ED" w14:textId="77777777" w:rsidR="00FF6122" w:rsidRPr="00785FA8" w:rsidRDefault="00FF6122" w:rsidP="008B591F">
            <w:pPr>
              <w:rPr>
                <w:rFonts w:cs="Times New Roman"/>
                <w:sz w:val="20"/>
                <w:szCs w:val="20"/>
              </w:rPr>
            </w:pPr>
          </w:p>
          <w:p w14:paraId="429C3106" w14:textId="77777777" w:rsidR="00FF6122" w:rsidRPr="00785FA8" w:rsidRDefault="00FF6122" w:rsidP="008B591F">
            <w:pPr>
              <w:rPr>
                <w:rFonts w:cs="Times New Roman"/>
                <w:sz w:val="20"/>
                <w:szCs w:val="20"/>
              </w:rPr>
            </w:pPr>
            <w:r w:rsidRPr="00785FA8">
              <w:rPr>
                <w:rFonts w:cs="Times New Roman"/>
                <w:sz w:val="20"/>
                <w:szCs w:val="20"/>
              </w:rPr>
              <w:t xml:space="preserve">- Pintura na lataria com a palavra </w:t>
            </w:r>
            <w:r w:rsidRPr="00785FA8">
              <w:rPr>
                <w:rFonts w:cs="Times New Roman"/>
                <w:sz w:val="20"/>
                <w:szCs w:val="20"/>
              </w:rPr>
              <w:lastRenderedPageBreak/>
              <w:t xml:space="preserve">“indiferenciado” </w:t>
            </w:r>
          </w:p>
          <w:p w14:paraId="7D118A8B" w14:textId="77777777" w:rsidR="00FF6122" w:rsidRPr="00785FA8" w:rsidRDefault="00FF6122" w:rsidP="008B591F">
            <w:pPr>
              <w:rPr>
                <w:rFonts w:cs="Times New Roman"/>
                <w:sz w:val="20"/>
                <w:szCs w:val="20"/>
              </w:rPr>
            </w:pPr>
          </w:p>
          <w:p w14:paraId="24FCEEC2" w14:textId="55854160" w:rsidR="00FF6122" w:rsidRPr="00785FA8" w:rsidRDefault="00FF6122" w:rsidP="008B591F">
            <w:pPr>
              <w:rPr>
                <w:rFonts w:cs="Times New Roman"/>
                <w:sz w:val="20"/>
                <w:szCs w:val="20"/>
              </w:rPr>
            </w:pPr>
            <w:r w:rsidRPr="00785FA8">
              <w:rPr>
                <w:rFonts w:cs="Times New Roman"/>
                <w:sz w:val="20"/>
                <w:szCs w:val="20"/>
              </w:rPr>
              <w:t xml:space="preserve">- Fabricado em chapa de aço SAE 1045 ou 1020; modelo com duas tampas articuladas com porta cadeados ou similar; </w:t>
            </w:r>
            <w:proofErr w:type="spellStart"/>
            <w:r w:rsidRPr="00785FA8">
              <w:rPr>
                <w:rFonts w:cs="Times New Roman"/>
                <w:sz w:val="20"/>
                <w:szCs w:val="20"/>
              </w:rPr>
              <w:t>munhões</w:t>
            </w:r>
            <w:proofErr w:type="spellEnd"/>
            <w:r w:rsidRPr="00785FA8">
              <w:rPr>
                <w:rFonts w:cs="Times New Roman"/>
                <w:sz w:val="20"/>
                <w:szCs w:val="20"/>
              </w:rPr>
              <w:t xml:space="preserve"> em aço reforçado (barras maciças laterais para contato com caminhões de coleta); equipado com 4 rodízios giratórios 6x3 de ferro revestido de borracha maciça (Para melhor absorver ao impacto); sistema deslizante e freios</w:t>
            </w:r>
            <w:r w:rsidR="00143FBF">
              <w:rPr>
                <w:rFonts w:cs="Times New Roman"/>
                <w:sz w:val="20"/>
                <w:szCs w:val="20"/>
              </w:rPr>
              <w:t xml:space="preserve"> </w:t>
            </w:r>
            <w:r w:rsidRPr="00785FA8">
              <w:rPr>
                <w:rFonts w:cs="Times New Roman"/>
                <w:sz w:val="20"/>
                <w:szCs w:val="20"/>
              </w:rPr>
              <w:t>em duas rodas; abertura no fundo para escoamento de líquidos, com caída de aproximadamente 3 cm; estrutura tratada com material antiferrugem.</w:t>
            </w:r>
          </w:p>
          <w:p w14:paraId="1660507C" w14:textId="77777777" w:rsidR="00FF6122" w:rsidRPr="00785FA8" w:rsidRDefault="00FF6122" w:rsidP="008B591F">
            <w:pPr>
              <w:rPr>
                <w:rFonts w:cs="Times New Roman"/>
                <w:sz w:val="20"/>
                <w:szCs w:val="20"/>
              </w:rPr>
            </w:pPr>
          </w:p>
          <w:p w14:paraId="07FC6DE2" w14:textId="77777777" w:rsidR="00FF6122" w:rsidRPr="00785FA8" w:rsidRDefault="00FF6122" w:rsidP="008B591F">
            <w:pPr>
              <w:rPr>
                <w:rFonts w:cs="Times New Roman"/>
                <w:sz w:val="20"/>
                <w:szCs w:val="20"/>
              </w:rPr>
            </w:pPr>
            <w:r w:rsidRPr="00785FA8">
              <w:rPr>
                <w:rFonts w:cs="Times New Roman"/>
                <w:sz w:val="20"/>
                <w:szCs w:val="20"/>
              </w:rPr>
              <w:t>- Medidas aproximadas:</w:t>
            </w:r>
          </w:p>
          <w:p w14:paraId="7A10197E" w14:textId="77777777" w:rsidR="00FF6122" w:rsidRPr="00785FA8" w:rsidRDefault="00FF6122" w:rsidP="008B591F">
            <w:pPr>
              <w:rPr>
                <w:rFonts w:cs="Times New Roman"/>
                <w:sz w:val="20"/>
                <w:szCs w:val="20"/>
              </w:rPr>
            </w:pPr>
            <w:r w:rsidRPr="00785FA8">
              <w:rPr>
                <w:rFonts w:cs="Times New Roman"/>
                <w:sz w:val="20"/>
                <w:szCs w:val="20"/>
              </w:rPr>
              <w:t>Comprimento:196 a 199cm</w:t>
            </w:r>
          </w:p>
          <w:p w14:paraId="56AEDEEC" w14:textId="77777777" w:rsidR="00FF6122" w:rsidRPr="00785FA8" w:rsidRDefault="00FF6122" w:rsidP="008B591F">
            <w:pPr>
              <w:rPr>
                <w:rFonts w:cs="Times New Roman"/>
                <w:sz w:val="20"/>
                <w:szCs w:val="20"/>
              </w:rPr>
            </w:pPr>
            <w:r w:rsidRPr="00785FA8">
              <w:rPr>
                <w:rFonts w:cs="Times New Roman"/>
                <w:sz w:val="20"/>
                <w:szCs w:val="20"/>
              </w:rPr>
              <w:t>Largura:92 a 99 cm</w:t>
            </w:r>
          </w:p>
          <w:p w14:paraId="0DAAF029" w14:textId="77777777" w:rsidR="00FF6122" w:rsidRPr="00785FA8" w:rsidRDefault="00FF6122" w:rsidP="008B591F">
            <w:pPr>
              <w:rPr>
                <w:rFonts w:cs="Times New Roman"/>
                <w:sz w:val="20"/>
                <w:szCs w:val="20"/>
              </w:rPr>
            </w:pPr>
            <w:r w:rsidRPr="00785FA8">
              <w:rPr>
                <w:rFonts w:cs="Times New Roman"/>
                <w:sz w:val="20"/>
                <w:szCs w:val="20"/>
              </w:rPr>
              <w:t>Altura:116 a 120 cm</w:t>
            </w:r>
          </w:p>
          <w:p w14:paraId="71CC0200" w14:textId="77777777" w:rsidR="00FF6122" w:rsidRPr="00785FA8" w:rsidRDefault="00FF6122" w:rsidP="008B591F">
            <w:pPr>
              <w:rPr>
                <w:rFonts w:cs="Times New Roman"/>
                <w:sz w:val="20"/>
                <w:szCs w:val="20"/>
              </w:rPr>
            </w:pPr>
          </w:p>
          <w:p w14:paraId="3A75A12D" w14:textId="77777777" w:rsidR="00FF6122" w:rsidRPr="00785FA8" w:rsidRDefault="00FF6122" w:rsidP="008B591F">
            <w:pPr>
              <w:rPr>
                <w:rFonts w:cs="Times New Roman"/>
                <w:sz w:val="20"/>
                <w:szCs w:val="20"/>
              </w:rPr>
            </w:pPr>
            <w:r w:rsidRPr="00785FA8">
              <w:rPr>
                <w:rFonts w:cs="Times New Roman"/>
                <w:sz w:val="20"/>
                <w:szCs w:val="20"/>
              </w:rPr>
              <w:t>- Garantia mínima de 12 meses, a partir da data de fabricação, inclusive na cor e com assistência técnica, durante o período de garantia.</w:t>
            </w:r>
          </w:p>
        </w:tc>
        <w:tc>
          <w:tcPr>
            <w:tcW w:w="894" w:type="dxa"/>
          </w:tcPr>
          <w:p w14:paraId="4DB519D5" w14:textId="77777777" w:rsidR="00FF6122" w:rsidRPr="00785FA8" w:rsidRDefault="00FF6122" w:rsidP="008B591F">
            <w:pPr>
              <w:rPr>
                <w:rFonts w:cs="Times New Roman"/>
                <w:sz w:val="20"/>
                <w:szCs w:val="20"/>
              </w:rPr>
            </w:pPr>
            <w:r w:rsidRPr="00785FA8">
              <w:rPr>
                <w:rFonts w:cs="Times New Roman"/>
                <w:sz w:val="20"/>
                <w:szCs w:val="20"/>
              </w:rPr>
              <w:lastRenderedPageBreak/>
              <w:t>Unidade</w:t>
            </w:r>
          </w:p>
        </w:tc>
        <w:tc>
          <w:tcPr>
            <w:tcW w:w="1672" w:type="dxa"/>
          </w:tcPr>
          <w:p w14:paraId="37ACDC18" w14:textId="77777777" w:rsidR="00FF6122" w:rsidRPr="00785FA8" w:rsidRDefault="00FF6122" w:rsidP="008B591F">
            <w:pPr>
              <w:rPr>
                <w:rFonts w:cs="Times New Roman"/>
                <w:sz w:val="20"/>
                <w:szCs w:val="20"/>
              </w:rPr>
            </w:pPr>
            <w:r w:rsidRPr="00785FA8">
              <w:rPr>
                <w:rFonts w:cs="Times New Roman"/>
                <w:sz w:val="20"/>
                <w:szCs w:val="20"/>
              </w:rPr>
              <w:t>01 unidade, na cor cinza, com a pintura “indiferenciado”.</w:t>
            </w:r>
          </w:p>
          <w:p w14:paraId="7D8444C7" w14:textId="77777777" w:rsidR="00FF6122" w:rsidRPr="00785FA8" w:rsidRDefault="00FF6122" w:rsidP="008B591F">
            <w:pPr>
              <w:rPr>
                <w:rFonts w:cs="Times New Roman"/>
                <w:sz w:val="20"/>
                <w:szCs w:val="20"/>
              </w:rPr>
            </w:pPr>
          </w:p>
        </w:tc>
        <w:tc>
          <w:tcPr>
            <w:tcW w:w="1134" w:type="dxa"/>
          </w:tcPr>
          <w:p w14:paraId="18E3161A" w14:textId="77777777" w:rsidR="00FF6122" w:rsidRPr="00785FA8" w:rsidRDefault="00FF6122" w:rsidP="008B591F">
            <w:pPr>
              <w:rPr>
                <w:rFonts w:cs="Times New Roman"/>
                <w:sz w:val="20"/>
                <w:szCs w:val="20"/>
              </w:rPr>
            </w:pPr>
          </w:p>
        </w:tc>
        <w:tc>
          <w:tcPr>
            <w:tcW w:w="989" w:type="dxa"/>
          </w:tcPr>
          <w:p w14:paraId="5EBDC380" w14:textId="77777777" w:rsidR="00FF6122" w:rsidRPr="00785FA8" w:rsidRDefault="00FF6122" w:rsidP="008B591F">
            <w:pPr>
              <w:rPr>
                <w:rFonts w:cs="Times New Roman"/>
                <w:sz w:val="20"/>
                <w:szCs w:val="20"/>
              </w:rPr>
            </w:pPr>
          </w:p>
        </w:tc>
        <w:tc>
          <w:tcPr>
            <w:tcW w:w="1131" w:type="dxa"/>
          </w:tcPr>
          <w:p w14:paraId="0C586DAE" w14:textId="72270A29" w:rsidR="00FF6122" w:rsidRPr="00785FA8" w:rsidRDefault="00FF6122" w:rsidP="008B591F">
            <w:pPr>
              <w:rPr>
                <w:rFonts w:cs="Times New Roman"/>
                <w:sz w:val="20"/>
                <w:szCs w:val="20"/>
              </w:rPr>
            </w:pPr>
          </w:p>
        </w:tc>
      </w:tr>
    </w:tbl>
    <w:p w14:paraId="58F13EA0" w14:textId="77777777" w:rsidR="00A95C0E" w:rsidRDefault="00A95C0E" w:rsidP="00387F1F">
      <w:pPr>
        <w:pStyle w:val="Standard"/>
        <w:rPr>
          <w:rFonts w:cs="Times New Roman"/>
          <w:sz w:val="24"/>
          <w:szCs w:val="24"/>
        </w:rPr>
      </w:pPr>
    </w:p>
    <w:p w14:paraId="59DC1360" w14:textId="01E3A294" w:rsidR="006B1FE4" w:rsidRDefault="006B1FE4" w:rsidP="00387F1F">
      <w:pPr>
        <w:pStyle w:val="Standard"/>
        <w:rPr>
          <w:rFonts w:cs="Times New Roman"/>
          <w:sz w:val="24"/>
          <w:szCs w:val="24"/>
        </w:rPr>
      </w:pPr>
    </w:p>
    <w:p w14:paraId="14E0C882" w14:textId="77777777" w:rsidR="006B00EF" w:rsidRDefault="006B00EF" w:rsidP="00387F1F">
      <w:pPr>
        <w:pStyle w:val="Standard"/>
        <w:rPr>
          <w:rFonts w:cs="Times New Roman"/>
          <w:sz w:val="24"/>
          <w:szCs w:val="24"/>
        </w:rPr>
      </w:pPr>
    </w:p>
    <w:p w14:paraId="40A512A1" w14:textId="77777777" w:rsidR="00387F1F" w:rsidRPr="000D5906" w:rsidRDefault="00387F1F" w:rsidP="00387F1F">
      <w:pPr>
        <w:pStyle w:val="Standard"/>
        <w:jc w:val="both"/>
        <w:rPr>
          <w:rFonts w:cs="Times New Roman"/>
          <w:sz w:val="24"/>
          <w:szCs w:val="24"/>
        </w:rPr>
      </w:pPr>
      <w:proofErr w:type="spellStart"/>
      <w:r w:rsidRPr="000D5906">
        <w:rPr>
          <w:rFonts w:cs="Times New Roman"/>
          <w:sz w:val="24"/>
          <w:szCs w:val="24"/>
        </w:rPr>
        <w:lastRenderedPageBreak/>
        <w:t>Obs</w:t>
      </w:r>
      <w:proofErr w:type="spellEnd"/>
      <w:r w:rsidRPr="000D5906">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17C88514" w14:textId="77777777" w:rsidR="00387F1F" w:rsidRPr="000D5906" w:rsidRDefault="00387F1F" w:rsidP="00387F1F">
      <w:pPr>
        <w:pStyle w:val="Standard"/>
        <w:jc w:val="both"/>
        <w:rPr>
          <w:rFonts w:cs="Times New Roman"/>
          <w:sz w:val="24"/>
          <w:szCs w:val="24"/>
        </w:rPr>
      </w:pPr>
      <w:r w:rsidRPr="000D5906">
        <w:rPr>
          <w:rFonts w:cs="Times New Roman"/>
          <w:sz w:val="24"/>
          <w:szCs w:val="24"/>
        </w:rPr>
        <w:t>Obs. 2 - Declaramos de que a empresa possui todos os requisitos exigidos no edital e no termo de referência para o cumprimento do objeto contratual.</w:t>
      </w:r>
    </w:p>
    <w:p w14:paraId="02A61AE6" w14:textId="77777777" w:rsidR="00387F1F" w:rsidRPr="000D5906" w:rsidRDefault="00387F1F" w:rsidP="00387F1F">
      <w:pPr>
        <w:pStyle w:val="Standard"/>
        <w:jc w:val="both"/>
        <w:rPr>
          <w:rFonts w:cs="Times New Roman"/>
          <w:sz w:val="24"/>
          <w:szCs w:val="24"/>
        </w:rPr>
      </w:pPr>
    </w:p>
    <w:p w14:paraId="396299BC" w14:textId="77777777" w:rsidR="00387F1F" w:rsidRPr="000D5906" w:rsidRDefault="00387F1F" w:rsidP="00387F1F">
      <w:pPr>
        <w:pStyle w:val="Standard"/>
        <w:jc w:val="both"/>
        <w:rPr>
          <w:rFonts w:cs="Times New Roman"/>
          <w:sz w:val="24"/>
          <w:szCs w:val="24"/>
        </w:rPr>
      </w:pPr>
    </w:p>
    <w:p w14:paraId="16B09346" w14:textId="77777777" w:rsidR="00387F1F" w:rsidRPr="000D5906" w:rsidRDefault="00387F1F" w:rsidP="00387F1F">
      <w:pPr>
        <w:pStyle w:val="Standard"/>
        <w:jc w:val="both"/>
        <w:rPr>
          <w:rFonts w:cs="Times New Roman"/>
          <w:sz w:val="24"/>
          <w:szCs w:val="24"/>
        </w:rPr>
      </w:pPr>
    </w:p>
    <w:p w14:paraId="0F0EA3F9" w14:textId="77777777" w:rsidR="00387F1F" w:rsidRPr="000D5906" w:rsidRDefault="00387F1F" w:rsidP="00387F1F">
      <w:pPr>
        <w:pStyle w:val="Standard"/>
        <w:jc w:val="both"/>
        <w:rPr>
          <w:rFonts w:cs="Times New Roman"/>
          <w:sz w:val="24"/>
          <w:szCs w:val="24"/>
        </w:rPr>
      </w:pPr>
    </w:p>
    <w:p w14:paraId="3FB53C22" w14:textId="77777777" w:rsidR="00387F1F" w:rsidRPr="000D5906" w:rsidRDefault="00387F1F" w:rsidP="00387F1F">
      <w:pPr>
        <w:pStyle w:val="Standard"/>
        <w:rPr>
          <w:rFonts w:cs="Times New Roman"/>
          <w:sz w:val="24"/>
          <w:szCs w:val="24"/>
        </w:rPr>
      </w:pPr>
    </w:p>
    <w:p w14:paraId="26D0B26E" w14:textId="77777777" w:rsidR="00387F1F" w:rsidRPr="000D5906" w:rsidRDefault="00387F1F" w:rsidP="00387F1F">
      <w:pPr>
        <w:pStyle w:val="Standard"/>
        <w:jc w:val="center"/>
        <w:rPr>
          <w:rFonts w:cs="Times New Roman"/>
          <w:sz w:val="24"/>
          <w:szCs w:val="24"/>
        </w:rPr>
      </w:pPr>
      <w:r w:rsidRPr="000D5906">
        <w:rPr>
          <w:rFonts w:cs="Times New Roman"/>
          <w:sz w:val="24"/>
          <w:szCs w:val="24"/>
        </w:rPr>
        <w:t xml:space="preserve">DATA: ____/____/____ </w:t>
      </w:r>
    </w:p>
    <w:p w14:paraId="2F59E3C7" w14:textId="77777777" w:rsidR="00387F1F" w:rsidRDefault="00387F1F" w:rsidP="00387F1F">
      <w:pPr>
        <w:pStyle w:val="Standard"/>
        <w:jc w:val="center"/>
        <w:rPr>
          <w:rFonts w:cs="Times New Roman"/>
          <w:sz w:val="24"/>
          <w:szCs w:val="24"/>
          <w:shd w:val="clear" w:color="auto" w:fill="FFFF00"/>
        </w:rPr>
      </w:pPr>
    </w:p>
    <w:p w14:paraId="26841D84" w14:textId="4515A374" w:rsidR="00387F1F" w:rsidRDefault="00387F1F" w:rsidP="00387F1F">
      <w:pPr>
        <w:spacing w:line="360" w:lineRule="auto"/>
        <w:ind w:left="2831" w:firstLine="709"/>
        <w:rPr>
          <w:rFonts w:cs="Times New Roman"/>
        </w:rPr>
      </w:pPr>
      <w:r>
        <w:rPr>
          <w:rFonts w:cs="Times New Roman"/>
        </w:rPr>
        <w:t>Local e data</w:t>
      </w:r>
    </w:p>
    <w:p w14:paraId="6A2C8197" w14:textId="48745FA3" w:rsidR="00D45A2C" w:rsidRDefault="00D45A2C" w:rsidP="00387F1F">
      <w:pPr>
        <w:spacing w:line="360" w:lineRule="auto"/>
        <w:ind w:left="2831" w:firstLine="709"/>
        <w:rPr>
          <w:rFonts w:cs="Times New Roman"/>
        </w:rPr>
      </w:pPr>
    </w:p>
    <w:p w14:paraId="3385CBA1" w14:textId="2EE1AA0B" w:rsidR="00D45A2C" w:rsidRDefault="00D45A2C" w:rsidP="00387F1F">
      <w:pPr>
        <w:spacing w:line="360" w:lineRule="auto"/>
        <w:ind w:left="2831" w:firstLine="709"/>
        <w:rPr>
          <w:rFonts w:cs="Times New Roman"/>
        </w:rPr>
      </w:pPr>
    </w:p>
    <w:p w14:paraId="22453792" w14:textId="5471B221" w:rsidR="00D45A2C" w:rsidRDefault="00D45A2C" w:rsidP="00387F1F">
      <w:pPr>
        <w:spacing w:line="360" w:lineRule="auto"/>
        <w:ind w:left="2831" w:firstLine="709"/>
        <w:rPr>
          <w:rFonts w:cs="Times New Roman"/>
        </w:rPr>
      </w:pPr>
    </w:p>
    <w:p w14:paraId="28CB90E1" w14:textId="2481C901" w:rsidR="00D45A2C" w:rsidRDefault="00D45A2C" w:rsidP="00387F1F">
      <w:pPr>
        <w:spacing w:line="360" w:lineRule="auto"/>
        <w:ind w:left="2831" w:firstLine="709"/>
        <w:rPr>
          <w:rFonts w:cs="Times New Roman"/>
        </w:rPr>
      </w:pPr>
    </w:p>
    <w:p w14:paraId="2208E6DC" w14:textId="4A8D41F0" w:rsidR="00D45A2C" w:rsidRDefault="00D45A2C" w:rsidP="00387F1F">
      <w:pPr>
        <w:spacing w:line="360" w:lineRule="auto"/>
        <w:ind w:left="2831" w:firstLine="709"/>
        <w:rPr>
          <w:rFonts w:cs="Times New Roman"/>
        </w:rPr>
      </w:pPr>
    </w:p>
    <w:p w14:paraId="7EE66A74" w14:textId="77777777" w:rsidR="00BC431F" w:rsidRDefault="00BC431F" w:rsidP="00387F1F">
      <w:pPr>
        <w:spacing w:line="360" w:lineRule="auto"/>
        <w:ind w:left="2831" w:firstLine="709"/>
        <w:rPr>
          <w:rFonts w:cs="Times New Roman"/>
        </w:rPr>
      </w:pPr>
    </w:p>
    <w:p w14:paraId="4CA7180B" w14:textId="77777777" w:rsidR="00BC431F" w:rsidRDefault="00BC431F" w:rsidP="00387F1F">
      <w:pPr>
        <w:spacing w:line="360" w:lineRule="auto"/>
        <w:ind w:left="2831" w:firstLine="709"/>
        <w:rPr>
          <w:rFonts w:cs="Times New Roman"/>
        </w:rPr>
      </w:pPr>
    </w:p>
    <w:p w14:paraId="0ACD3790" w14:textId="77777777" w:rsidR="00BC431F" w:rsidRDefault="00BC431F" w:rsidP="00387F1F">
      <w:pPr>
        <w:spacing w:line="360" w:lineRule="auto"/>
        <w:ind w:left="2831" w:firstLine="709"/>
        <w:rPr>
          <w:rFonts w:cs="Times New Roman"/>
        </w:rPr>
      </w:pPr>
    </w:p>
    <w:p w14:paraId="14961D88" w14:textId="77777777" w:rsidR="00BC431F" w:rsidRDefault="00BC431F" w:rsidP="00387F1F">
      <w:pPr>
        <w:spacing w:line="360" w:lineRule="auto"/>
        <w:ind w:left="2831" w:firstLine="709"/>
        <w:rPr>
          <w:rFonts w:cs="Times New Roman"/>
        </w:rPr>
      </w:pPr>
    </w:p>
    <w:p w14:paraId="7E1D8808" w14:textId="77777777" w:rsidR="00BC431F" w:rsidRDefault="00BC431F" w:rsidP="00387F1F">
      <w:pPr>
        <w:spacing w:line="360" w:lineRule="auto"/>
        <w:ind w:left="2831" w:firstLine="709"/>
        <w:rPr>
          <w:rFonts w:cs="Times New Roman"/>
        </w:rPr>
      </w:pPr>
    </w:p>
    <w:p w14:paraId="5374E929" w14:textId="77777777" w:rsidR="00BC431F" w:rsidRDefault="00BC431F" w:rsidP="00387F1F">
      <w:pPr>
        <w:spacing w:line="360" w:lineRule="auto"/>
        <w:ind w:left="2831" w:firstLine="709"/>
        <w:rPr>
          <w:rFonts w:cs="Times New Roman"/>
        </w:rPr>
      </w:pPr>
    </w:p>
    <w:p w14:paraId="744AAA29" w14:textId="77777777" w:rsidR="00BC431F" w:rsidRDefault="00BC431F" w:rsidP="00387F1F">
      <w:pPr>
        <w:spacing w:line="360" w:lineRule="auto"/>
        <w:ind w:left="2831" w:firstLine="709"/>
        <w:rPr>
          <w:rFonts w:cs="Times New Roman"/>
        </w:rPr>
      </w:pPr>
    </w:p>
    <w:p w14:paraId="09600164" w14:textId="77777777" w:rsidR="00BC431F" w:rsidRDefault="00BC431F" w:rsidP="00387F1F">
      <w:pPr>
        <w:spacing w:line="360" w:lineRule="auto"/>
        <w:ind w:left="2831" w:firstLine="709"/>
        <w:rPr>
          <w:rFonts w:cs="Times New Roman"/>
        </w:rPr>
      </w:pPr>
    </w:p>
    <w:p w14:paraId="0DC1FBF5" w14:textId="77777777" w:rsidR="00BC431F" w:rsidRDefault="00BC431F" w:rsidP="00387F1F">
      <w:pPr>
        <w:spacing w:line="360" w:lineRule="auto"/>
        <w:ind w:left="2831" w:firstLine="709"/>
        <w:rPr>
          <w:rFonts w:cs="Times New Roman"/>
        </w:rPr>
      </w:pPr>
    </w:p>
    <w:p w14:paraId="1BCA8595" w14:textId="77777777" w:rsidR="00BC431F" w:rsidRDefault="00BC431F" w:rsidP="00387F1F">
      <w:pPr>
        <w:spacing w:line="360" w:lineRule="auto"/>
        <w:ind w:left="2831" w:firstLine="709"/>
        <w:rPr>
          <w:rFonts w:cs="Times New Roman"/>
        </w:rPr>
      </w:pPr>
    </w:p>
    <w:p w14:paraId="3A6E8BBE" w14:textId="77777777" w:rsidR="00BC431F" w:rsidRDefault="00BC431F" w:rsidP="00387F1F">
      <w:pPr>
        <w:spacing w:line="360" w:lineRule="auto"/>
        <w:ind w:left="2831" w:firstLine="709"/>
        <w:rPr>
          <w:rFonts w:cs="Times New Roman"/>
        </w:rPr>
      </w:pPr>
    </w:p>
    <w:p w14:paraId="4A854276" w14:textId="77777777" w:rsidR="00BC431F" w:rsidRDefault="00BC431F" w:rsidP="00387F1F">
      <w:pPr>
        <w:spacing w:line="360" w:lineRule="auto"/>
        <w:ind w:left="2831" w:firstLine="709"/>
        <w:rPr>
          <w:rFonts w:cs="Times New Roman"/>
        </w:rPr>
      </w:pPr>
    </w:p>
    <w:p w14:paraId="2099221E" w14:textId="77777777" w:rsidR="00BC431F" w:rsidRDefault="00BC431F" w:rsidP="00387F1F">
      <w:pPr>
        <w:spacing w:line="360" w:lineRule="auto"/>
        <w:ind w:left="2831" w:firstLine="709"/>
        <w:rPr>
          <w:rFonts w:cs="Times New Roman"/>
        </w:rPr>
      </w:pPr>
    </w:p>
    <w:p w14:paraId="03977F7B" w14:textId="77777777" w:rsidR="00BC431F" w:rsidRDefault="00BC431F" w:rsidP="00387F1F">
      <w:pPr>
        <w:spacing w:line="360" w:lineRule="auto"/>
        <w:ind w:left="2831" w:firstLine="709"/>
        <w:rPr>
          <w:rFonts w:cs="Times New Roman"/>
        </w:rPr>
      </w:pPr>
    </w:p>
    <w:p w14:paraId="282780FC" w14:textId="0E8C1380" w:rsidR="00D45A2C" w:rsidRDefault="00D45A2C" w:rsidP="00387F1F">
      <w:pPr>
        <w:spacing w:line="360" w:lineRule="auto"/>
        <w:ind w:left="2831" w:firstLine="709"/>
        <w:rPr>
          <w:rFonts w:cs="Times New Roman"/>
        </w:rPr>
      </w:pPr>
    </w:p>
    <w:p w14:paraId="0C38CD50" w14:textId="1A3EE506"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BC431F">
        <w:rPr>
          <w:b/>
          <w:sz w:val="24"/>
          <w:szCs w:val="24"/>
          <w:u w:val="single"/>
        </w:rPr>
        <w:t>22</w:t>
      </w:r>
      <w:r w:rsidR="00F87211">
        <w:rPr>
          <w:b/>
          <w:sz w:val="24"/>
          <w:szCs w:val="24"/>
          <w:u w:val="single"/>
        </w:rPr>
        <w:t>/202</w:t>
      </w:r>
      <w:r w:rsidR="006B00EF">
        <w:rPr>
          <w:b/>
          <w:sz w:val="24"/>
          <w:szCs w:val="24"/>
          <w:u w:val="single"/>
        </w:rPr>
        <w:t>2</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0E2FEB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D52240" w:rsidRPr="00D52240">
        <w:rPr>
          <w:b/>
          <w:sz w:val="24"/>
          <w:szCs w:val="24"/>
          <w:u w:val="single"/>
        </w:rPr>
        <w:t>19.00.61</w:t>
      </w:r>
      <w:r w:rsidR="00D11765">
        <w:rPr>
          <w:b/>
          <w:sz w:val="24"/>
          <w:szCs w:val="24"/>
          <w:u w:val="single"/>
        </w:rPr>
        <w:t>5</w:t>
      </w:r>
      <w:r w:rsidR="00D52240" w:rsidRPr="00D52240">
        <w:rPr>
          <w:b/>
          <w:sz w:val="24"/>
          <w:szCs w:val="24"/>
          <w:u w:val="single"/>
        </w:rPr>
        <w:t>0.000</w:t>
      </w:r>
      <w:r w:rsidR="006B00EF">
        <w:rPr>
          <w:b/>
          <w:sz w:val="24"/>
          <w:szCs w:val="24"/>
          <w:u w:val="single"/>
        </w:rPr>
        <w:t>2127</w:t>
      </w:r>
      <w:r w:rsidR="00D52240" w:rsidRPr="00D52240">
        <w:rPr>
          <w:b/>
          <w:sz w:val="24"/>
          <w:szCs w:val="24"/>
          <w:u w:val="single"/>
        </w:rPr>
        <w:t>/202</w:t>
      </w:r>
      <w:r w:rsidR="006B00EF">
        <w:rPr>
          <w:b/>
          <w:sz w:val="24"/>
          <w:szCs w:val="24"/>
          <w:u w:val="single"/>
        </w:rPr>
        <w:t>2</w:t>
      </w:r>
      <w:r w:rsidR="00D52240" w:rsidRPr="00D52240">
        <w:rPr>
          <w:b/>
          <w:sz w:val="24"/>
          <w:szCs w:val="24"/>
          <w:u w:val="single"/>
        </w:rPr>
        <w:t>-</w:t>
      </w:r>
      <w:r w:rsidR="006B00EF">
        <w:rPr>
          <w:b/>
          <w:sz w:val="24"/>
          <w:szCs w:val="24"/>
          <w:u w:val="single"/>
        </w:rPr>
        <w:t>06</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446CCFD9"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6B00EF">
        <w:rPr>
          <w:rFonts w:cs="Times New Roman"/>
          <w:sz w:val="24"/>
          <w:szCs w:val="24"/>
        </w:rPr>
        <w:t>2</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458E81A7" w14:textId="57CA2C38"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020F5217" w14:textId="20CCE57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6F8CE1E6" w14:textId="0AC31E3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A6A8F39" w14:textId="650571D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CED5A4A" w14:textId="58AD9529"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6401C4A" w14:textId="348A06E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E383C84" w14:textId="3E7650F2"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5C0C2835" w14:textId="596F605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0D05A81" w14:textId="742CB95D"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2D00EF5" w14:textId="32DAB5A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B78A49D" w14:textId="2E4FCAB1"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61FAFDB" w14:textId="48AA504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8D7A1D1" w14:textId="1367B4D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C91040F" w14:textId="32555B2A"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0F971814" w14:textId="3283651F"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5CB3664" w14:textId="430FC35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EC5DEA2" w14:textId="77777777" w:rsidR="00AF5874" w:rsidRDefault="00AF5874" w:rsidP="00313E23">
      <w:pPr>
        <w:pStyle w:val="Standard"/>
        <w:tabs>
          <w:tab w:val="left" w:pos="6492"/>
        </w:tabs>
        <w:spacing w:line="360" w:lineRule="auto"/>
        <w:ind w:left="723" w:hanging="360"/>
        <w:jc w:val="center"/>
        <w:rPr>
          <w:rFonts w:eastAsia="Times New Roman" w:cs="Times New Roman"/>
          <w:sz w:val="24"/>
          <w:szCs w:val="24"/>
        </w:rPr>
      </w:pPr>
    </w:p>
    <w:p w14:paraId="6952967F" w14:textId="206468E5" w:rsidR="001635AC" w:rsidRDefault="001635AC" w:rsidP="00DA7C61">
      <w:pPr>
        <w:pStyle w:val="Standard"/>
        <w:tabs>
          <w:tab w:val="left" w:pos="6492"/>
        </w:tabs>
        <w:spacing w:line="360" w:lineRule="auto"/>
        <w:rPr>
          <w:rFonts w:eastAsia="Times New Roman" w:cs="Times New Roman"/>
          <w:sz w:val="24"/>
          <w:szCs w:val="24"/>
        </w:rPr>
      </w:pPr>
    </w:p>
    <w:p w14:paraId="4718DC1A" w14:textId="1FC0B327"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sectPr w:rsidR="001635AC">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B9C8" w14:textId="77777777" w:rsidR="00E734DD" w:rsidRDefault="00E734DD">
      <w:r>
        <w:separator/>
      </w:r>
    </w:p>
  </w:endnote>
  <w:endnote w:type="continuationSeparator" w:id="0">
    <w:p w14:paraId="0527C015" w14:textId="77777777" w:rsidR="00E734DD" w:rsidRDefault="00E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TE4D8A14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C06BF9" w:rsidRDefault="00C06BF9">
    <w:pPr>
      <w:pStyle w:val="Rodap"/>
      <w:jc w:val="both"/>
    </w:pPr>
  </w:p>
  <w:p w14:paraId="0036EAE5" w14:textId="72F50047" w:rsidR="00C06BF9" w:rsidRDefault="00C06BF9">
    <w:pPr>
      <w:pStyle w:val="Rodap"/>
      <w:jc w:val="both"/>
    </w:pPr>
    <w:r>
      <w:rPr>
        <w:rFonts w:ascii="Trebuchet MS" w:hAnsi="Trebuchet MS" w:cs="Tahoma"/>
        <w:sz w:val="16"/>
        <w:szCs w:val="16"/>
      </w:rPr>
      <w:t xml:space="preserve">SEI </w:t>
    </w:r>
    <w:r w:rsidR="00EE1730" w:rsidRPr="00EE1730">
      <w:rPr>
        <w:rFonts w:ascii="Trebuchet MS" w:hAnsi="Trebuchet MS" w:cs="Tahoma"/>
        <w:sz w:val="16"/>
        <w:szCs w:val="16"/>
      </w:rPr>
      <w:t>19.00.6150.0002127/2022-06</w:t>
    </w:r>
    <w:r>
      <w:rPr>
        <w:rFonts w:ascii="Trebuchet MS" w:hAnsi="Trebuchet MS" w:cs="Tahoma"/>
        <w:sz w:val="16"/>
        <w:szCs w:val="16"/>
      </w:rPr>
      <w:tab/>
      <w:t xml:space="preserve">Pregão Eletrônico CNMP nº </w:t>
    </w:r>
    <w:r w:rsidR="004C7EFE">
      <w:rPr>
        <w:rFonts w:ascii="Trebuchet MS" w:hAnsi="Trebuchet MS" w:cs="Tahoma"/>
        <w:sz w:val="16"/>
        <w:szCs w:val="16"/>
      </w:rPr>
      <w:t>22</w:t>
    </w:r>
    <w:r>
      <w:rPr>
        <w:rFonts w:ascii="Trebuchet MS" w:hAnsi="Trebuchet MS" w:cs="Tahoma"/>
        <w:sz w:val="16"/>
        <w:szCs w:val="16"/>
      </w:rPr>
      <w:t>/202</w:t>
    </w:r>
    <w:r w:rsidR="00EE1730">
      <w:rPr>
        <w:rFonts w:ascii="Trebuchet MS" w:hAnsi="Trebuchet MS" w:cs="Tahoma"/>
        <w:sz w:val="16"/>
        <w:szCs w:val="16"/>
      </w:rPr>
      <w:t>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F247C">
      <w:rPr>
        <w:rFonts w:cs="Trebuchet MS"/>
        <w:noProof/>
        <w:sz w:val="16"/>
        <w:szCs w:val="16"/>
      </w:rPr>
      <w:t>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F247C">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C06BF9" w:rsidRDefault="00C06B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C06BF9" w:rsidRDefault="00C06BF9">
    <w:pPr>
      <w:pStyle w:val="Rodap"/>
      <w:jc w:val="both"/>
    </w:pPr>
  </w:p>
  <w:p w14:paraId="448CBBD8" w14:textId="087F1B2C" w:rsidR="00C06BF9" w:rsidRDefault="00C06BF9">
    <w:pPr>
      <w:pStyle w:val="Rodap"/>
      <w:jc w:val="both"/>
    </w:pPr>
    <w:r>
      <w:rPr>
        <w:rFonts w:ascii="Trebuchet MS" w:hAnsi="Trebuchet MS" w:cs="Tahoma"/>
        <w:sz w:val="16"/>
        <w:szCs w:val="16"/>
      </w:rPr>
      <w:t xml:space="preserve">SEI </w:t>
    </w:r>
    <w:r w:rsidRPr="002A2C5D">
      <w:rPr>
        <w:rFonts w:ascii="Trebuchet MS" w:hAnsi="Trebuchet MS"/>
        <w:sz w:val="16"/>
        <w:szCs w:val="16"/>
      </w:rPr>
      <w:t>19.00.61</w:t>
    </w:r>
    <w:r w:rsidR="00427088">
      <w:rPr>
        <w:rFonts w:ascii="Trebuchet MS" w:hAnsi="Trebuchet MS"/>
        <w:sz w:val="16"/>
        <w:szCs w:val="16"/>
      </w:rPr>
      <w:t>5</w:t>
    </w:r>
    <w:r w:rsidRPr="002A2C5D">
      <w:rPr>
        <w:rFonts w:ascii="Trebuchet MS" w:hAnsi="Trebuchet MS"/>
        <w:sz w:val="16"/>
        <w:szCs w:val="16"/>
      </w:rPr>
      <w:t>0.000</w:t>
    </w:r>
    <w:r w:rsidR="006B00EF">
      <w:rPr>
        <w:rFonts w:ascii="Trebuchet MS" w:hAnsi="Trebuchet MS"/>
        <w:sz w:val="16"/>
        <w:szCs w:val="16"/>
      </w:rPr>
      <w:t>2127</w:t>
    </w:r>
    <w:r w:rsidRPr="002A2C5D">
      <w:rPr>
        <w:rFonts w:ascii="Trebuchet MS" w:hAnsi="Trebuchet MS"/>
        <w:sz w:val="16"/>
        <w:szCs w:val="16"/>
      </w:rPr>
      <w:t>/202</w:t>
    </w:r>
    <w:r w:rsidR="006B00EF">
      <w:rPr>
        <w:rFonts w:ascii="Trebuchet MS" w:hAnsi="Trebuchet MS"/>
        <w:sz w:val="16"/>
        <w:szCs w:val="16"/>
      </w:rPr>
      <w:t>2</w:t>
    </w:r>
    <w:r w:rsidRPr="002A2C5D">
      <w:rPr>
        <w:rFonts w:ascii="Trebuchet MS" w:hAnsi="Trebuchet MS"/>
        <w:sz w:val="16"/>
        <w:szCs w:val="16"/>
      </w:rPr>
      <w:t>-</w:t>
    </w:r>
    <w:r w:rsidR="006B00EF">
      <w:rPr>
        <w:rFonts w:ascii="Trebuchet MS" w:hAnsi="Trebuchet MS"/>
        <w:sz w:val="16"/>
        <w:szCs w:val="16"/>
      </w:rPr>
      <w:t>06</w:t>
    </w:r>
    <w:r>
      <w:rPr>
        <w:rFonts w:ascii="Trebuchet MS" w:hAnsi="Trebuchet MS" w:cs="Tahoma"/>
        <w:sz w:val="16"/>
        <w:szCs w:val="16"/>
      </w:rPr>
      <w:tab/>
      <w:t xml:space="preserve">Pregão Eletrônico CNMP nº </w:t>
    </w:r>
    <w:r w:rsidR="00AE1E65">
      <w:rPr>
        <w:rFonts w:ascii="Trebuchet MS" w:hAnsi="Trebuchet MS" w:cs="Tahoma"/>
        <w:sz w:val="16"/>
        <w:szCs w:val="16"/>
      </w:rPr>
      <w:t>22</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F247C">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F247C">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C06BF9" w:rsidRDefault="00C06BF9">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C06BF9" w:rsidRDefault="00C06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ADE4" w14:textId="77777777" w:rsidR="00E734DD" w:rsidRDefault="00E734DD">
      <w:r>
        <w:separator/>
      </w:r>
    </w:p>
  </w:footnote>
  <w:footnote w:type="continuationSeparator" w:id="0">
    <w:p w14:paraId="14D5AF6A" w14:textId="77777777" w:rsidR="00E734DD" w:rsidRDefault="00E7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C06BF9" w:rsidRDefault="00C06BF9">
    <w:pPr>
      <w:pStyle w:val="Standard"/>
    </w:pPr>
  </w:p>
  <w:p w14:paraId="33D28B4B" w14:textId="5B379297" w:rsidR="00C06BF9" w:rsidRDefault="00C06BF9">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D6097F" w:rsidRDefault="00D6097F">
    <w:pPr>
      <w:pStyle w:val="Standard"/>
    </w:pPr>
  </w:p>
  <w:p w14:paraId="37EFA3E3" w14:textId="77777777" w:rsidR="00C06BF9" w:rsidRDefault="00C06BF9">
    <w:pPr>
      <w:pStyle w:val="Standard"/>
    </w:pPr>
  </w:p>
  <w:p w14:paraId="41C6AC2A" w14:textId="77777777" w:rsidR="00C06BF9" w:rsidRDefault="00C06BF9">
    <w:pPr>
      <w:pStyle w:val="Standard"/>
    </w:pPr>
  </w:p>
  <w:p w14:paraId="2DC44586" w14:textId="77777777" w:rsidR="00C06BF9" w:rsidRDefault="00C06BF9">
    <w:pPr>
      <w:pStyle w:val="Standard"/>
    </w:pPr>
  </w:p>
  <w:p w14:paraId="4FFCBC07" w14:textId="77777777" w:rsidR="00C06BF9" w:rsidRDefault="00C06BF9">
    <w:pPr>
      <w:pStyle w:val="Standard"/>
    </w:pPr>
  </w:p>
  <w:p w14:paraId="31F211AE" w14:textId="77777777" w:rsidR="00C06BF9" w:rsidRDefault="00C06BF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C06BF9" w:rsidRDefault="00C06BF9">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C06BF9" w:rsidRDefault="00C06B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C06BF9" w:rsidRDefault="00C06BF9">
    <w:pPr>
      <w:pStyle w:val="Standard"/>
    </w:pPr>
  </w:p>
  <w:p w14:paraId="1A499DFC" w14:textId="77777777" w:rsidR="00C06BF9" w:rsidRDefault="00C06BF9">
    <w:pPr>
      <w:pStyle w:val="Standard"/>
    </w:pPr>
  </w:p>
  <w:p w14:paraId="5E7E3C41" w14:textId="77777777" w:rsidR="00C06BF9" w:rsidRDefault="00C06BF9">
    <w:pPr>
      <w:pStyle w:val="Standard"/>
    </w:pPr>
  </w:p>
  <w:p w14:paraId="03F828E4" w14:textId="77777777" w:rsidR="00C06BF9" w:rsidRDefault="00C06BF9">
    <w:pPr>
      <w:pStyle w:val="Standard"/>
    </w:pPr>
  </w:p>
  <w:p w14:paraId="2AC57CB0" w14:textId="77777777" w:rsidR="00C06BF9" w:rsidRDefault="00C06BF9">
    <w:pPr>
      <w:pStyle w:val="Standard"/>
    </w:pPr>
  </w:p>
  <w:p w14:paraId="6665AF0E" w14:textId="77777777" w:rsidR="00C06BF9" w:rsidRDefault="00C06BF9">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06BF9" w:rsidRDefault="00C06BF9">
    <w:pPr>
      <w:pStyle w:val="Standard"/>
    </w:pPr>
  </w:p>
  <w:p w14:paraId="77E36463" w14:textId="77777777" w:rsidR="00C06BF9" w:rsidRDefault="00C06BF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06BF9" w:rsidRDefault="00C06BF9">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C06BF9" w:rsidRDefault="00C06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2"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3"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1" w15:restartNumberingAfterBreak="0">
    <w:nsid w:val="0FD93550"/>
    <w:multiLevelType w:val="multilevel"/>
    <w:tmpl w:val="F73079E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B8B48EC"/>
    <w:multiLevelType w:val="multilevel"/>
    <w:tmpl w:val="6D1AED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6"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7"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3"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9"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2E177346"/>
    <w:multiLevelType w:val="multilevel"/>
    <w:tmpl w:val="1AE052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2F045AE4"/>
    <w:multiLevelType w:val="multilevel"/>
    <w:tmpl w:val="F20A0BC6"/>
    <w:lvl w:ilvl="0">
      <w:start w:val="1"/>
      <w:numFmt w:val="decimal"/>
      <w:lvlText w:val="%1"/>
      <w:lvlJc w:val="left"/>
      <w:pPr>
        <w:ind w:left="432"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rPr>
        <w:b/>
        <w:bCs/>
      </w:rPr>
    </w:lvl>
    <w:lvl w:ilvl="3">
      <w:start w:val="1"/>
      <w:numFmt w:val="decimal"/>
      <w:lvlText w:val="%1.%2.%3.%4"/>
      <w:lvlJc w:val="left"/>
      <w:pPr>
        <w:ind w:left="864" w:hanging="864"/>
      </w:pPr>
      <w:rPr>
        <w:b/>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9024DED"/>
    <w:multiLevelType w:val="hybridMultilevel"/>
    <w:tmpl w:val="717C1EFC"/>
    <w:lvl w:ilvl="0" w:tplc="EE2CC576">
      <w:start w:val="1"/>
      <w:numFmt w:val="lowerLetter"/>
      <w:lvlText w:val="%1)"/>
      <w:lvlJc w:val="left"/>
      <w:pPr>
        <w:ind w:left="720" w:hanging="360"/>
      </w:pPr>
    </w:lvl>
    <w:lvl w:ilvl="1" w:tplc="F88A9152">
      <w:start w:val="1"/>
      <w:numFmt w:val="lowerLetter"/>
      <w:lvlText w:val="%2."/>
      <w:lvlJc w:val="left"/>
      <w:pPr>
        <w:ind w:left="1440" w:hanging="360"/>
      </w:pPr>
    </w:lvl>
    <w:lvl w:ilvl="2" w:tplc="75B87E2E">
      <w:start w:val="1"/>
      <w:numFmt w:val="lowerRoman"/>
      <w:lvlText w:val="%3."/>
      <w:lvlJc w:val="right"/>
      <w:pPr>
        <w:ind w:left="2160" w:hanging="180"/>
      </w:pPr>
    </w:lvl>
    <w:lvl w:ilvl="3" w:tplc="173CDC4A">
      <w:start w:val="1"/>
      <w:numFmt w:val="decimal"/>
      <w:lvlText w:val="%4."/>
      <w:lvlJc w:val="left"/>
      <w:pPr>
        <w:ind w:left="2880" w:hanging="360"/>
      </w:pPr>
    </w:lvl>
    <w:lvl w:ilvl="4" w:tplc="9FAABD24">
      <w:start w:val="1"/>
      <w:numFmt w:val="lowerLetter"/>
      <w:lvlText w:val="%5."/>
      <w:lvlJc w:val="left"/>
      <w:pPr>
        <w:ind w:left="3600" w:hanging="360"/>
      </w:pPr>
    </w:lvl>
    <w:lvl w:ilvl="5" w:tplc="C57EF102">
      <w:start w:val="1"/>
      <w:numFmt w:val="lowerRoman"/>
      <w:lvlText w:val="%6."/>
      <w:lvlJc w:val="right"/>
      <w:pPr>
        <w:ind w:left="4320" w:hanging="180"/>
      </w:pPr>
    </w:lvl>
    <w:lvl w:ilvl="6" w:tplc="A4B40876">
      <w:start w:val="1"/>
      <w:numFmt w:val="decimal"/>
      <w:lvlText w:val="%7."/>
      <w:lvlJc w:val="left"/>
      <w:pPr>
        <w:ind w:left="5040" w:hanging="360"/>
      </w:pPr>
    </w:lvl>
    <w:lvl w:ilvl="7" w:tplc="0FAEE49E">
      <w:start w:val="1"/>
      <w:numFmt w:val="lowerLetter"/>
      <w:lvlText w:val="%8."/>
      <w:lvlJc w:val="left"/>
      <w:pPr>
        <w:ind w:left="5760" w:hanging="360"/>
      </w:pPr>
    </w:lvl>
    <w:lvl w:ilvl="8" w:tplc="2EF4B77C">
      <w:start w:val="1"/>
      <w:numFmt w:val="lowerRoman"/>
      <w:lvlText w:val="%9."/>
      <w:lvlJc w:val="right"/>
      <w:pPr>
        <w:ind w:left="6480" w:hanging="180"/>
      </w:pPr>
    </w:lvl>
  </w:abstractNum>
  <w:abstractNum w:abstractNumId="81"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6"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2"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3"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9"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4C8B3572"/>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02"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4"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0"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5"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D7B4C27"/>
    <w:multiLevelType w:val="multilevel"/>
    <w:tmpl w:val="53E2792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2"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69A4823"/>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7BCF074D"/>
    <w:multiLevelType w:val="multilevel"/>
    <w:tmpl w:val="731C8F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52"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53"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4"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8"/>
  </w:num>
  <w:num w:numId="7">
    <w:abstractNumId w:val="111"/>
  </w:num>
  <w:num w:numId="8">
    <w:abstractNumId w:val="60"/>
  </w:num>
  <w:num w:numId="9">
    <w:abstractNumId w:val="113"/>
  </w:num>
  <w:num w:numId="10">
    <w:abstractNumId w:val="39"/>
  </w:num>
  <w:num w:numId="11">
    <w:abstractNumId w:val="148"/>
  </w:num>
  <w:num w:numId="12">
    <w:abstractNumId w:val="90"/>
  </w:num>
  <w:num w:numId="13">
    <w:abstractNumId w:val="50"/>
  </w:num>
  <w:num w:numId="14">
    <w:abstractNumId w:val="27"/>
  </w:num>
  <w:num w:numId="15">
    <w:abstractNumId w:val="95"/>
  </w:num>
  <w:num w:numId="16">
    <w:abstractNumId w:val="66"/>
  </w:num>
  <w:num w:numId="17">
    <w:abstractNumId w:val="123"/>
  </w:num>
  <w:num w:numId="18">
    <w:abstractNumId w:val="26"/>
  </w:num>
  <w:num w:numId="19">
    <w:abstractNumId w:val="129"/>
  </w:num>
  <w:num w:numId="20">
    <w:abstractNumId w:val="131"/>
  </w:num>
  <w:num w:numId="21">
    <w:abstractNumId w:val="89"/>
  </w:num>
  <w:num w:numId="22">
    <w:abstractNumId w:val="48"/>
  </w:num>
  <w:num w:numId="23">
    <w:abstractNumId w:val="57"/>
  </w:num>
  <w:num w:numId="24">
    <w:abstractNumId w:val="130"/>
  </w:num>
  <w:num w:numId="25">
    <w:abstractNumId w:val="71"/>
  </w:num>
  <w:num w:numId="26">
    <w:abstractNumId w:val="85"/>
  </w:num>
  <w:num w:numId="27">
    <w:abstractNumId w:val="43"/>
  </w:num>
  <w:num w:numId="28">
    <w:abstractNumId w:val="98"/>
  </w:num>
  <w:num w:numId="29">
    <w:abstractNumId w:val="64"/>
  </w:num>
  <w:num w:numId="30">
    <w:abstractNumId w:val="101"/>
  </w:num>
  <w:num w:numId="31">
    <w:abstractNumId w:val="20"/>
  </w:num>
  <w:num w:numId="32">
    <w:abstractNumId w:val="134"/>
  </w:num>
  <w:num w:numId="33">
    <w:abstractNumId w:val="29"/>
  </w:num>
  <w:num w:numId="34">
    <w:abstractNumId w:val="115"/>
  </w:num>
  <w:num w:numId="35">
    <w:abstractNumId w:val="65"/>
  </w:num>
  <w:num w:numId="36">
    <w:abstractNumId w:val="59"/>
  </w:num>
  <w:num w:numId="37">
    <w:abstractNumId w:val="94"/>
  </w:num>
  <w:num w:numId="38">
    <w:abstractNumId w:val="118"/>
  </w:num>
  <w:num w:numId="39">
    <w:abstractNumId w:val="146"/>
  </w:num>
  <w:num w:numId="40">
    <w:abstractNumId w:val="124"/>
  </w:num>
  <w:num w:numId="41">
    <w:abstractNumId w:val="35"/>
  </w:num>
  <w:num w:numId="42">
    <w:abstractNumId w:val="32"/>
  </w:num>
  <w:num w:numId="43">
    <w:abstractNumId w:val="127"/>
  </w:num>
  <w:num w:numId="44">
    <w:abstractNumId w:val="122"/>
  </w:num>
  <w:num w:numId="45">
    <w:abstractNumId w:val="30"/>
  </w:num>
  <w:num w:numId="46">
    <w:abstractNumId w:val="103"/>
  </w:num>
  <w:num w:numId="47">
    <w:abstractNumId w:val="108"/>
  </w:num>
  <w:num w:numId="48">
    <w:abstractNumId w:val="141"/>
  </w:num>
  <w:num w:numId="49">
    <w:abstractNumId w:val="37"/>
  </w:num>
  <w:num w:numId="50">
    <w:abstractNumId w:val="62"/>
  </w:num>
  <w:num w:numId="51">
    <w:abstractNumId w:val="142"/>
  </w:num>
  <w:num w:numId="52">
    <w:abstractNumId w:val="88"/>
  </w:num>
  <w:num w:numId="53">
    <w:abstractNumId w:val="79"/>
  </w:num>
  <w:num w:numId="54">
    <w:abstractNumId w:val="139"/>
  </w:num>
  <w:num w:numId="55">
    <w:abstractNumId w:val="128"/>
  </w:num>
  <w:num w:numId="56">
    <w:abstractNumId w:val="149"/>
  </w:num>
  <w:num w:numId="57">
    <w:abstractNumId w:val="68"/>
  </w:num>
  <w:num w:numId="58">
    <w:abstractNumId w:val="91"/>
  </w:num>
  <w:num w:numId="59">
    <w:abstractNumId w:val="38"/>
  </w:num>
  <w:num w:numId="60">
    <w:abstractNumId w:val="153"/>
  </w:num>
  <w:num w:numId="61">
    <w:abstractNumId w:val="23"/>
  </w:num>
  <w:num w:numId="62">
    <w:abstractNumId w:val="99"/>
  </w:num>
  <w:num w:numId="63">
    <w:abstractNumId w:val="143"/>
  </w:num>
  <w:num w:numId="64">
    <w:abstractNumId w:val="84"/>
  </w:num>
  <w:num w:numId="65">
    <w:abstractNumId w:val="83"/>
  </w:num>
  <w:num w:numId="66">
    <w:abstractNumId w:val="133"/>
  </w:num>
  <w:num w:numId="67">
    <w:abstractNumId w:val="77"/>
  </w:num>
  <w:num w:numId="68">
    <w:abstractNumId w:val="120"/>
  </w:num>
  <w:num w:numId="69">
    <w:abstractNumId w:val="28"/>
  </w:num>
  <w:num w:numId="70">
    <w:abstractNumId w:val="116"/>
  </w:num>
  <w:num w:numId="71">
    <w:abstractNumId w:val="81"/>
  </w:num>
  <w:num w:numId="72">
    <w:abstractNumId w:val="25"/>
  </w:num>
  <w:num w:numId="73">
    <w:abstractNumId w:val="24"/>
  </w:num>
  <w:num w:numId="74">
    <w:abstractNumId w:val="75"/>
  </w:num>
  <w:num w:numId="75">
    <w:abstractNumId w:val="87"/>
  </w:num>
  <w:num w:numId="76">
    <w:abstractNumId w:val="110"/>
  </w:num>
  <w:num w:numId="77">
    <w:abstractNumId w:val="136"/>
  </w:num>
  <w:num w:numId="78">
    <w:abstractNumId w:val="97"/>
  </w:num>
  <w:num w:numId="79">
    <w:abstractNumId w:val="96"/>
  </w:num>
  <w:num w:numId="80">
    <w:abstractNumId w:val="69"/>
  </w:num>
  <w:num w:numId="81">
    <w:abstractNumId w:val="55"/>
  </w:num>
  <w:num w:numId="82">
    <w:abstractNumId w:val="34"/>
  </w:num>
  <w:num w:numId="83">
    <w:abstractNumId w:val="31"/>
  </w:num>
  <w:num w:numId="84">
    <w:abstractNumId w:val="22"/>
  </w:num>
  <w:num w:numId="85">
    <w:abstractNumId w:val="114"/>
  </w:num>
  <w:num w:numId="86">
    <w:abstractNumId w:val="109"/>
  </w:num>
  <w:num w:numId="87">
    <w:abstractNumId w:val="107"/>
  </w:num>
  <w:num w:numId="88">
    <w:abstractNumId w:val="154"/>
  </w:num>
  <w:num w:numId="89">
    <w:abstractNumId w:val="52"/>
  </w:num>
  <w:num w:numId="90">
    <w:abstractNumId w:val="125"/>
  </w:num>
  <w:num w:numId="91">
    <w:abstractNumId w:val="49"/>
  </w:num>
  <w:num w:numId="92">
    <w:abstractNumId w:val="76"/>
  </w:num>
  <w:num w:numId="93">
    <w:abstractNumId w:val="61"/>
  </w:num>
  <w:num w:numId="94">
    <w:abstractNumId w:val="119"/>
  </w:num>
  <w:num w:numId="95">
    <w:abstractNumId w:val="82"/>
  </w:num>
  <w:num w:numId="96">
    <w:abstractNumId w:val="106"/>
  </w:num>
  <w:num w:numId="97">
    <w:abstractNumId w:val="67"/>
  </w:num>
  <w:num w:numId="98">
    <w:abstractNumId w:val="33"/>
  </w:num>
  <w:num w:numId="99">
    <w:abstractNumId w:val="73"/>
  </w:num>
  <w:num w:numId="100">
    <w:abstractNumId w:val="151"/>
  </w:num>
  <w:num w:numId="101">
    <w:abstractNumId w:val="36"/>
  </w:num>
  <w:num w:numId="102">
    <w:abstractNumId w:val="56"/>
  </w:num>
  <w:num w:numId="103">
    <w:abstractNumId w:val="104"/>
  </w:num>
  <w:num w:numId="104">
    <w:abstractNumId w:val="138"/>
  </w:num>
  <w:num w:numId="105">
    <w:abstractNumId w:val="105"/>
  </w:num>
  <w:num w:numId="106">
    <w:abstractNumId w:val="53"/>
  </w:num>
  <w:num w:numId="107">
    <w:abstractNumId w:val="145"/>
  </w:num>
  <w:num w:numId="108">
    <w:abstractNumId w:val="126"/>
  </w:num>
  <w:num w:numId="109">
    <w:abstractNumId w:val="58"/>
  </w:num>
  <w:num w:numId="110">
    <w:abstractNumId w:val="112"/>
  </w:num>
  <w:num w:numId="111">
    <w:abstractNumId w:val="51"/>
  </w:num>
  <w:num w:numId="112">
    <w:abstractNumId w:val="147"/>
  </w:num>
  <w:num w:numId="113">
    <w:abstractNumId w:val="93"/>
  </w:num>
  <w:num w:numId="114">
    <w:abstractNumId w:val="63"/>
  </w:num>
  <w:num w:numId="115">
    <w:abstractNumId w:val="42"/>
  </w:num>
  <w:num w:numId="116">
    <w:abstractNumId w:val="47"/>
  </w:num>
  <w:num w:numId="117">
    <w:abstractNumId w:val="102"/>
  </w:num>
  <w:num w:numId="118">
    <w:abstractNumId w:val="140"/>
  </w:num>
  <w:num w:numId="119">
    <w:abstractNumId w:val="135"/>
  </w:num>
  <w:num w:numId="120">
    <w:abstractNumId w:val="45"/>
  </w:num>
  <w:num w:numId="121">
    <w:abstractNumId w:val="86"/>
  </w:num>
  <w:num w:numId="122">
    <w:abstractNumId w:val="117"/>
  </w:num>
  <w:num w:numId="123">
    <w:abstractNumId w:val="152"/>
  </w:num>
  <w:num w:numId="124">
    <w:abstractNumId w:val="40"/>
  </w:num>
  <w:num w:numId="125">
    <w:abstractNumId w:val="121"/>
  </w:num>
  <w:num w:numId="126">
    <w:abstractNumId w:val="70"/>
  </w:num>
  <w:num w:numId="127">
    <w:abstractNumId w:val="44"/>
  </w:num>
  <w:num w:numId="128">
    <w:abstractNumId w:val="137"/>
  </w:num>
  <w:num w:numId="129">
    <w:abstractNumId w:val="92"/>
  </w:num>
  <w:num w:numId="130">
    <w:abstractNumId w:val="46"/>
  </w:num>
  <w:num w:numId="131">
    <w:abstractNumId w:val="21"/>
  </w:num>
  <w:num w:numId="132">
    <w:abstractNumId w:val="74"/>
  </w:num>
  <w:num w:numId="133">
    <w:abstractNumId w:val="54"/>
  </w:num>
  <w:num w:numId="134">
    <w:abstractNumId w:val="41"/>
  </w:num>
  <w:num w:numId="135">
    <w:abstractNumId w:val="132"/>
  </w:num>
  <w:num w:numId="136">
    <w:abstractNumId w:val="150"/>
  </w:num>
  <w:num w:numId="1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4"/>
  </w:num>
  <w:num w:numId="141">
    <w:abstractNumId w:val="10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699E"/>
    <w:rsid w:val="0000756C"/>
    <w:rsid w:val="0001313D"/>
    <w:rsid w:val="00013B24"/>
    <w:rsid w:val="0001733D"/>
    <w:rsid w:val="00021266"/>
    <w:rsid w:val="00025A6B"/>
    <w:rsid w:val="00030884"/>
    <w:rsid w:val="0003144F"/>
    <w:rsid w:val="00033AEF"/>
    <w:rsid w:val="0004370A"/>
    <w:rsid w:val="000477C9"/>
    <w:rsid w:val="00055635"/>
    <w:rsid w:val="00062302"/>
    <w:rsid w:val="000673B9"/>
    <w:rsid w:val="00074570"/>
    <w:rsid w:val="000927C9"/>
    <w:rsid w:val="000954F5"/>
    <w:rsid w:val="000A0674"/>
    <w:rsid w:val="000A3ABF"/>
    <w:rsid w:val="000B192B"/>
    <w:rsid w:val="000C1EE5"/>
    <w:rsid w:val="000C3FA4"/>
    <w:rsid w:val="000C7F61"/>
    <w:rsid w:val="000D03B2"/>
    <w:rsid w:val="000D125C"/>
    <w:rsid w:val="000D5206"/>
    <w:rsid w:val="000E0EDF"/>
    <w:rsid w:val="000F067A"/>
    <w:rsid w:val="000F316F"/>
    <w:rsid w:val="000F386B"/>
    <w:rsid w:val="000F5620"/>
    <w:rsid w:val="00111C64"/>
    <w:rsid w:val="00113F5A"/>
    <w:rsid w:val="00122461"/>
    <w:rsid w:val="00122FEE"/>
    <w:rsid w:val="00123F70"/>
    <w:rsid w:val="00127FCD"/>
    <w:rsid w:val="00133382"/>
    <w:rsid w:val="0014350E"/>
    <w:rsid w:val="00143FBF"/>
    <w:rsid w:val="001530B4"/>
    <w:rsid w:val="0016133F"/>
    <w:rsid w:val="001635AC"/>
    <w:rsid w:val="001660A9"/>
    <w:rsid w:val="00173D7B"/>
    <w:rsid w:val="001756EB"/>
    <w:rsid w:val="001A00B0"/>
    <w:rsid w:val="001C53E2"/>
    <w:rsid w:val="001D3171"/>
    <w:rsid w:val="001D71E5"/>
    <w:rsid w:val="001E310D"/>
    <w:rsid w:val="001E4DD7"/>
    <w:rsid w:val="001F0BD8"/>
    <w:rsid w:val="001F40B7"/>
    <w:rsid w:val="001F5DEE"/>
    <w:rsid w:val="00216C38"/>
    <w:rsid w:val="00230694"/>
    <w:rsid w:val="00234021"/>
    <w:rsid w:val="00242AA3"/>
    <w:rsid w:val="00242B0C"/>
    <w:rsid w:val="002434BD"/>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6C4B"/>
    <w:rsid w:val="00337D0B"/>
    <w:rsid w:val="00347832"/>
    <w:rsid w:val="00355E85"/>
    <w:rsid w:val="00362474"/>
    <w:rsid w:val="0038123F"/>
    <w:rsid w:val="00387F1F"/>
    <w:rsid w:val="003969F1"/>
    <w:rsid w:val="003A5BD8"/>
    <w:rsid w:val="003A6592"/>
    <w:rsid w:val="003B16B3"/>
    <w:rsid w:val="003B2383"/>
    <w:rsid w:val="003B6348"/>
    <w:rsid w:val="003C2FE6"/>
    <w:rsid w:val="003E2E56"/>
    <w:rsid w:val="003E4AE8"/>
    <w:rsid w:val="003E7528"/>
    <w:rsid w:val="003F084F"/>
    <w:rsid w:val="003F4F50"/>
    <w:rsid w:val="00404F77"/>
    <w:rsid w:val="004052B2"/>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3C3"/>
    <w:rsid w:val="004B24BD"/>
    <w:rsid w:val="004C7EFE"/>
    <w:rsid w:val="004D534F"/>
    <w:rsid w:val="004E4456"/>
    <w:rsid w:val="004F0FEB"/>
    <w:rsid w:val="004F3FF4"/>
    <w:rsid w:val="00503189"/>
    <w:rsid w:val="0050602B"/>
    <w:rsid w:val="0050769F"/>
    <w:rsid w:val="00511332"/>
    <w:rsid w:val="005301C2"/>
    <w:rsid w:val="00542A4A"/>
    <w:rsid w:val="00545340"/>
    <w:rsid w:val="00546DEC"/>
    <w:rsid w:val="00551BC0"/>
    <w:rsid w:val="00576434"/>
    <w:rsid w:val="005854EA"/>
    <w:rsid w:val="005A47BA"/>
    <w:rsid w:val="005A5F49"/>
    <w:rsid w:val="005A7023"/>
    <w:rsid w:val="005B369C"/>
    <w:rsid w:val="005C0BCA"/>
    <w:rsid w:val="005D27E0"/>
    <w:rsid w:val="005E09FF"/>
    <w:rsid w:val="005E7258"/>
    <w:rsid w:val="005F60AD"/>
    <w:rsid w:val="0060172A"/>
    <w:rsid w:val="00604485"/>
    <w:rsid w:val="00605ED5"/>
    <w:rsid w:val="00610338"/>
    <w:rsid w:val="00612122"/>
    <w:rsid w:val="00612AD0"/>
    <w:rsid w:val="006163E8"/>
    <w:rsid w:val="006171B7"/>
    <w:rsid w:val="0062345A"/>
    <w:rsid w:val="00624AC1"/>
    <w:rsid w:val="006267F7"/>
    <w:rsid w:val="00630D5E"/>
    <w:rsid w:val="00633A1B"/>
    <w:rsid w:val="00634228"/>
    <w:rsid w:val="0064131E"/>
    <w:rsid w:val="006466B5"/>
    <w:rsid w:val="0065563E"/>
    <w:rsid w:val="00661070"/>
    <w:rsid w:val="0066282B"/>
    <w:rsid w:val="006706EB"/>
    <w:rsid w:val="00672E1C"/>
    <w:rsid w:val="006771F0"/>
    <w:rsid w:val="00680A3A"/>
    <w:rsid w:val="00682B6E"/>
    <w:rsid w:val="006932DC"/>
    <w:rsid w:val="006936A7"/>
    <w:rsid w:val="00695EC3"/>
    <w:rsid w:val="006A0F7A"/>
    <w:rsid w:val="006A7DCB"/>
    <w:rsid w:val="006B00EF"/>
    <w:rsid w:val="006B1FE4"/>
    <w:rsid w:val="006B3341"/>
    <w:rsid w:val="006B4049"/>
    <w:rsid w:val="006C4F22"/>
    <w:rsid w:val="006D35FD"/>
    <w:rsid w:val="006D55B0"/>
    <w:rsid w:val="006D7DBB"/>
    <w:rsid w:val="006E01B3"/>
    <w:rsid w:val="006E5599"/>
    <w:rsid w:val="006E645F"/>
    <w:rsid w:val="006E7E02"/>
    <w:rsid w:val="0070030C"/>
    <w:rsid w:val="007018FB"/>
    <w:rsid w:val="007115EC"/>
    <w:rsid w:val="007218FA"/>
    <w:rsid w:val="007239FB"/>
    <w:rsid w:val="00724413"/>
    <w:rsid w:val="0072717A"/>
    <w:rsid w:val="0073118B"/>
    <w:rsid w:val="00731EA1"/>
    <w:rsid w:val="00733236"/>
    <w:rsid w:val="0074530B"/>
    <w:rsid w:val="0076020E"/>
    <w:rsid w:val="00761CF9"/>
    <w:rsid w:val="00767E64"/>
    <w:rsid w:val="0078016F"/>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B86"/>
    <w:rsid w:val="008B1AC1"/>
    <w:rsid w:val="008C7B0C"/>
    <w:rsid w:val="008D3CC7"/>
    <w:rsid w:val="008D3F85"/>
    <w:rsid w:val="008D5417"/>
    <w:rsid w:val="008E3E12"/>
    <w:rsid w:val="008E7E17"/>
    <w:rsid w:val="008F47BB"/>
    <w:rsid w:val="008F6265"/>
    <w:rsid w:val="008F6269"/>
    <w:rsid w:val="008F6D36"/>
    <w:rsid w:val="008F73C7"/>
    <w:rsid w:val="00900288"/>
    <w:rsid w:val="0090657A"/>
    <w:rsid w:val="00920165"/>
    <w:rsid w:val="009303F7"/>
    <w:rsid w:val="00931E68"/>
    <w:rsid w:val="0093668C"/>
    <w:rsid w:val="009409A4"/>
    <w:rsid w:val="00952D5F"/>
    <w:rsid w:val="00955A06"/>
    <w:rsid w:val="00960AEB"/>
    <w:rsid w:val="00967F48"/>
    <w:rsid w:val="00971613"/>
    <w:rsid w:val="00972B81"/>
    <w:rsid w:val="00980774"/>
    <w:rsid w:val="009916E4"/>
    <w:rsid w:val="00993782"/>
    <w:rsid w:val="00997239"/>
    <w:rsid w:val="009A1EA5"/>
    <w:rsid w:val="009B175B"/>
    <w:rsid w:val="009B4ECC"/>
    <w:rsid w:val="009C160C"/>
    <w:rsid w:val="009D62A9"/>
    <w:rsid w:val="009E1713"/>
    <w:rsid w:val="009E56B7"/>
    <w:rsid w:val="00A0013B"/>
    <w:rsid w:val="00A13F57"/>
    <w:rsid w:val="00A3161E"/>
    <w:rsid w:val="00A342E5"/>
    <w:rsid w:val="00A357E2"/>
    <w:rsid w:val="00A413B3"/>
    <w:rsid w:val="00A41F3D"/>
    <w:rsid w:val="00A523DC"/>
    <w:rsid w:val="00A53F37"/>
    <w:rsid w:val="00A7297F"/>
    <w:rsid w:val="00A83EE3"/>
    <w:rsid w:val="00A95C0E"/>
    <w:rsid w:val="00AA1604"/>
    <w:rsid w:val="00AA7BC6"/>
    <w:rsid w:val="00AB396B"/>
    <w:rsid w:val="00AC1109"/>
    <w:rsid w:val="00AC2A27"/>
    <w:rsid w:val="00AD5785"/>
    <w:rsid w:val="00AD64E3"/>
    <w:rsid w:val="00AE1470"/>
    <w:rsid w:val="00AE16EF"/>
    <w:rsid w:val="00AE1E65"/>
    <w:rsid w:val="00AE2800"/>
    <w:rsid w:val="00AE3A2F"/>
    <w:rsid w:val="00AE7A6A"/>
    <w:rsid w:val="00AF02A7"/>
    <w:rsid w:val="00AF5874"/>
    <w:rsid w:val="00AF58E7"/>
    <w:rsid w:val="00B200B1"/>
    <w:rsid w:val="00B211F5"/>
    <w:rsid w:val="00B24A61"/>
    <w:rsid w:val="00B35700"/>
    <w:rsid w:val="00B410F6"/>
    <w:rsid w:val="00B423CB"/>
    <w:rsid w:val="00B460CE"/>
    <w:rsid w:val="00B50690"/>
    <w:rsid w:val="00B62C61"/>
    <w:rsid w:val="00B82FE9"/>
    <w:rsid w:val="00B922E9"/>
    <w:rsid w:val="00B93FCA"/>
    <w:rsid w:val="00B96E90"/>
    <w:rsid w:val="00BB011A"/>
    <w:rsid w:val="00BB0178"/>
    <w:rsid w:val="00BB6EC0"/>
    <w:rsid w:val="00BB756D"/>
    <w:rsid w:val="00BC25C3"/>
    <w:rsid w:val="00BC431F"/>
    <w:rsid w:val="00BD3A7D"/>
    <w:rsid w:val="00BD47AD"/>
    <w:rsid w:val="00BF3D3F"/>
    <w:rsid w:val="00BF52D1"/>
    <w:rsid w:val="00BF5D23"/>
    <w:rsid w:val="00C02798"/>
    <w:rsid w:val="00C0326F"/>
    <w:rsid w:val="00C06BF9"/>
    <w:rsid w:val="00C13AC4"/>
    <w:rsid w:val="00C145A9"/>
    <w:rsid w:val="00C16A41"/>
    <w:rsid w:val="00C221BA"/>
    <w:rsid w:val="00C2316A"/>
    <w:rsid w:val="00C3073F"/>
    <w:rsid w:val="00C32068"/>
    <w:rsid w:val="00C3363F"/>
    <w:rsid w:val="00C42DED"/>
    <w:rsid w:val="00C55B96"/>
    <w:rsid w:val="00C56999"/>
    <w:rsid w:val="00C623BF"/>
    <w:rsid w:val="00C6285D"/>
    <w:rsid w:val="00C72E89"/>
    <w:rsid w:val="00C75DFE"/>
    <w:rsid w:val="00C81715"/>
    <w:rsid w:val="00C91F90"/>
    <w:rsid w:val="00C971DD"/>
    <w:rsid w:val="00CA2D47"/>
    <w:rsid w:val="00CA670C"/>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747"/>
    <w:rsid w:val="00D4187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7C61"/>
    <w:rsid w:val="00DB5F74"/>
    <w:rsid w:val="00DB6FFE"/>
    <w:rsid w:val="00DC0B3F"/>
    <w:rsid w:val="00DC4270"/>
    <w:rsid w:val="00DC5DDE"/>
    <w:rsid w:val="00DC71E1"/>
    <w:rsid w:val="00DD15D8"/>
    <w:rsid w:val="00DD1A16"/>
    <w:rsid w:val="00DD3323"/>
    <w:rsid w:val="00DD6A89"/>
    <w:rsid w:val="00DD74AC"/>
    <w:rsid w:val="00DE240B"/>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42093"/>
    <w:rsid w:val="00E42300"/>
    <w:rsid w:val="00E52105"/>
    <w:rsid w:val="00E524DE"/>
    <w:rsid w:val="00E56F58"/>
    <w:rsid w:val="00E72D1C"/>
    <w:rsid w:val="00E734DD"/>
    <w:rsid w:val="00E746E2"/>
    <w:rsid w:val="00E800FD"/>
    <w:rsid w:val="00E80F3F"/>
    <w:rsid w:val="00E82B2D"/>
    <w:rsid w:val="00E83DEB"/>
    <w:rsid w:val="00E86333"/>
    <w:rsid w:val="00E875E2"/>
    <w:rsid w:val="00E9330B"/>
    <w:rsid w:val="00EB11CF"/>
    <w:rsid w:val="00EB34B7"/>
    <w:rsid w:val="00EB6DF1"/>
    <w:rsid w:val="00EC0B1F"/>
    <w:rsid w:val="00EC461E"/>
    <w:rsid w:val="00ED0EF8"/>
    <w:rsid w:val="00ED498F"/>
    <w:rsid w:val="00EE1730"/>
    <w:rsid w:val="00EE4C45"/>
    <w:rsid w:val="00EF2939"/>
    <w:rsid w:val="00F05473"/>
    <w:rsid w:val="00F0663B"/>
    <w:rsid w:val="00F22DBB"/>
    <w:rsid w:val="00F314C2"/>
    <w:rsid w:val="00F36EC6"/>
    <w:rsid w:val="00F3734E"/>
    <w:rsid w:val="00F37854"/>
    <w:rsid w:val="00F378E6"/>
    <w:rsid w:val="00F4190E"/>
    <w:rsid w:val="00F46536"/>
    <w:rsid w:val="00F6217C"/>
    <w:rsid w:val="00F66B30"/>
    <w:rsid w:val="00F72A7B"/>
    <w:rsid w:val="00F754E4"/>
    <w:rsid w:val="00F76E55"/>
    <w:rsid w:val="00F853DE"/>
    <w:rsid w:val="00F87211"/>
    <w:rsid w:val="00F91EEB"/>
    <w:rsid w:val="00F967B2"/>
    <w:rsid w:val="00FA3FC4"/>
    <w:rsid w:val="00FB0419"/>
    <w:rsid w:val="00FB4367"/>
    <w:rsid w:val="00FB673D"/>
    <w:rsid w:val="00FB6885"/>
    <w:rsid w:val="00FC0602"/>
    <w:rsid w:val="00FC5975"/>
    <w:rsid w:val="00FC738D"/>
    <w:rsid w:val="00FD73AE"/>
    <w:rsid w:val="00FD7B9B"/>
    <w:rsid w:val="00FE2417"/>
    <w:rsid w:val="00FE3445"/>
    <w:rsid w:val="00FE3B69"/>
    <w:rsid w:val="00FE5F2E"/>
    <w:rsid w:val="00FE7899"/>
    <w:rsid w:val="00FF11DC"/>
    <w:rsid w:val="00FF3F1B"/>
    <w:rsid w:val="00FF6122"/>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0F94021B-A102-4065-9EE1-75ADFF9C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nmp.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mailto:licitacoes@cnmp.mp.br"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2.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22CC5-5CEB-4183-826C-B5229974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46</Pages>
  <Words>12740</Words>
  <Characters>68802</Characters>
  <Application>Microsoft Office Word</Application>
  <DocSecurity>4</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2021-09-21T17:36:00Z</cp:lastPrinted>
  <dcterms:created xsi:type="dcterms:W3CDTF">2022-09-06T17:39:00Z</dcterms:created>
  <dcterms:modified xsi:type="dcterms:W3CDTF">2022-09-06T17:39:00Z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